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E6931" w14:textId="1F4D0214" w:rsidR="00C8647B" w:rsidRDefault="00C8647B">
      <w:pPr>
        <w:rPr>
          <w:rFonts w:ascii="Arial" w:hAnsi="Arial" w:cs="Arial"/>
          <w:b/>
          <w:bCs/>
          <w:sz w:val="24"/>
          <w:szCs w:val="24"/>
          <w:u w:val="single"/>
        </w:rPr>
      </w:pPr>
    </w:p>
    <w:p w14:paraId="12FAFB03" w14:textId="77777777" w:rsidR="00C8647B" w:rsidRDefault="00C8647B" w:rsidP="00C8647B">
      <w:pPr>
        <w:rPr>
          <w:rFonts w:ascii="Arial" w:hAnsi="Arial" w:cs="Arial"/>
          <w:b/>
          <w:bCs/>
          <w:sz w:val="24"/>
          <w:szCs w:val="24"/>
          <w:u w:val="single"/>
        </w:rPr>
      </w:pPr>
    </w:p>
    <w:p w14:paraId="417C6C45" w14:textId="7842524D" w:rsidR="00C8647B" w:rsidRPr="00C8647B" w:rsidRDefault="002A77BB" w:rsidP="00C8647B">
      <w:pPr>
        <w:jc w:val="center"/>
        <w:rPr>
          <w:rFonts w:ascii="Arial" w:hAnsi="Arial" w:cs="Arial"/>
          <w:b/>
          <w:bCs/>
          <w:color w:val="00B0F0"/>
          <w:sz w:val="40"/>
          <w:szCs w:val="40"/>
        </w:rPr>
      </w:pPr>
      <w:r>
        <w:rPr>
          <w:rFonts w:ascii="Arial" w:hAnsi="Arial" w:cs="Arial"/>
          <w:b/>
          <w:bCs/>
          <w:color w:val="00B0F0"/>
          <w:sz w:val="40"/>
          <w:szCs w:val="40"/>
        </w:rPr>
        <w:t xml:space="preserve">Patient Safety Incident Response Framework </w:t>
      </w:r>
      <w:r w:rsidR="00C8647B" w:rsidRPr="00C8647B">
        <w:rPr>
          <w:rFonts w:ascii="Arial" w:hAnsi="Arial" w:cs="Arial"/>
          <w:b/>
          <w:bCs/>
          <w:color w:val="00B0F0"/>
          <w:sz w:val="40"/>
          <w:szCs w:val="40"/>
        </w:rPr>
        <w:t xml:space="preserve">Plan </w:t>
      </w:r>
    </w:p>
    <w:p w14:paraId="5D526629" w14:textId="77777777" w:rsidR="00C8647B" w:rsidRDefault="00C8647B" w:rsidP="00C8647B">
      <w:pPr>
        <w:jc w:val="center"/>
        <w:rPr>
          <w:rFonts w:ascii="Arial" w:hAnsi="Arial" w:cs="Arial"/>
          <w:color w:val="00B0F0"/>
          <w:sz w:val="40"/>
          <w:szCs w:val="40"/>
        </w:rPr>
      </w:pPr>
    </w:p>
    <w:p w14:paraId="3D261D98" w14:textId="5ED4FBFF" w:rsidR="00C8647B" w:rsidRPr="00C8647B" w:rsidRDefault="00C8647B" w:rsidP="00C8647B">
      <w:pPr>
        <w:jc w:val="center"/>
        <w:rPr>
          <w:rFonts w:ascii="Arial" w:hAnsi="Arial" w:cs="Arial"/>
          <w:b/>
          <w:bCs/>
          <w:color w:val="000000" w:themeColor="text1"/>
          <w:sz w:val="24"/>
          <w:szCs w:val="24"/>
        </w:rPr>
      </w:pPr>
      <w:r w:rsidRPr="00C8647B">
        <w:rPr>
          <w:rFonts w:ascii="Arial" w:hAnsi="Arial" w:cs="Arial"/>
          <w:b/>
          <w:bCs/>
          <w:color w:val="000000" w:themeColor="text1"/>
          <w:sz w:val="24"/>
          <w:szCs w:val="24"/>
        </w:rPr>
        <w:t>Angela O’Brien</w:t>
      </w:r>
    </w:p>
    <w:p w14:paraId="7A4A1CDE" w14:textId="77777777" w:rsidR="00C8647B" w:rsidRPr="00C8647B" w:rsidRDefault="00C8647B" w:rsidP="00C8647B">
      <w:pPr>
        <w:jc w:val="center"/>
        <w:rPr>
          <w:rFonts w:ascii="Arial" w:hAnsi="Arial" w:cs="Arial"/>
          <w:b/>
          <w:bCs/>
          <w:color w:val="000000" w:themeColor="text1"/>
          <w:sz w:val="24"/>
          <w:szCs w:val="24"/>
        </w:rPr>
      </w:pPr>
      <w:r w:rsidRPr="00C8647B">
        <w:rPr>
          <w:rFonts w:ascii="Arial" w:hAnsi="Arial" w:cs="Arial"/>
          <w:b/>
          <w:bCs/>
          <w:color w:val="000000" w:themeColor="text1"/>
          <w:sz w:val="24"/>
          <w:szCs w:val="24"/>
        </w:rPr>
        <w:t>(Director of Quality and Effectiveness)</w:t>
      </w:r>
    </w:p>
    <w:p w14:paraId="084269E3" w14:textId="77777777" w:rsidR="00C8647B" w:rsidRPr="00C8647B" w:rsidRDefault="00C8647B" w:rsidP="00C8647B">
      <w:pPr>
        <w:jc w:val="center"/>
        <w:rPr>
          <w:rFonts w:ascii="Arial" w:hAnsi="Arial" w:cs="Arial"/>
          <w:b/>
          <w:bCs/>
          <w:color w:val="000000" w:themeColor="text1"/>
          <w:sz w:val="24"/>
          <w:szCs w:val="24"/>
        </w:rPr>
      </w:pPr>
    </w:p>
    <w:p w14:paraId="76E4D90B" w14:textId="2BD46132" w:rsidR="00C8647B" w:rsidRPr="00C8647B" w:rsidRDefault="00C8647B" w:rsidP="00C8647B">
      <w:pPr>
        <w:jc w:val="center"/>
        <w:rPr>
          <w:rFonts w:ascii="Arial" w:hAnsi="Arial" w:cs="Arial"/>
          <w:b/>
          <w:bCs/>
          <w:color w:val="000000" w:themeColor="text1"/>
          <w:sz w:val="24"/>
          <w:szCs w:val="24"/>
        </w:rPr>
      </w:pPr>
      <w:r w:rsidRPr="00C8647B">
        <w:rPr>
          <w:rFonts w:ascii="Arial" w:hAnsi="Arial" w:cs="Arial"/>
          <w:b/>
          <w:bCs/>
          <w:color w:val="000000" w:themeColor="text1"/>
          <w:sz w:val="24"/>
          <w:szCs w:val="24"/>
        </w:rPr>
        <w:t>Gus Vincent</w:t>
      </w:r>
    </w:p>
    <w:p w14:paraId="446761F3" w14:textId="77777777" w:rsidR="00C8647B" w:rsidRPr="00C8647B" w:rsidRDefault="00C8647B" w:rsidP="00C8647B">
      <w:pPr>
        <w:jc w:val="center"/>
        <w:rPr>
          <w:rFonts w:ascii="Arial" w:hAnsi="Arial" w:cs="Arial"/>
          <w:b/>
          <w:bCs/>
          <w:color w:val="000000" w:themeColor="text1"/>
          <w:sz w:val="24"/>
          <w:szCs w:val="24"/>
        </w:rPr>
      </w:pPr>
      <w:r w:rsidRPr="00C8647B">
        <w:rPr>
          <w:rFonts w:ascii="Arial" w:hAnsi="Arial" w:cs="Arial"/>
          <w:b/>
          <w:bCs/>
          <w:color w:val="000000" w:themeColor="text1"/>
          <w:sz w:val="24"/>
          <w:szCs w:val="24"/>
        </w:rPr>
        <w:t>(Associate Medical Director)</w:t>
      </w:r>
    </w:p>
    <w:p w14:paraId="4D2570EE" w14:textId="77777777" w:rsidR="00C8647B" w:rsidRPr="00C8647B" w:rsidRDefault="00C8647B" w:rsidP="00C8647B">
      <w:pPr>
        <w:jc w:val="center"/>
        <w:rPr>
          <w:rFonts w:ascii="Arial" w:hAnsi="Arial" w:cs="Arial"/>
          <w:b/>
          <w:bCs/>
          <w:color w:val="000000" w:themeColor="text1"/>
          <w:sz w:val="24"/>
          <w:szCs w:val="24"/>
        </w:rPr>
      </w:pPr>
    </w:p>
    <w:p w14:paraId="306A4982" w14:textId="6B6D8762" w:rsidR="00C8647B" w:rsidRPr="00C8647B" w:rsidRDefault="00C8647B" w:rsidP="00C8647B">
      <w:pPr>
        <w:jc w:val="center"/>
        <w:rPr>
          <w:rFonts w:ascii="Arial" w:hAnsi="Arial" w:cs="Arial"/>
          <w:b/>
          <w:bCs/>
          <w:color w:val="000000" w:themeColor="text1"/>
          <w:sz w:val="24"/>
          <w:szCs w:val="24"/>
        </w:rPr>
      </w:pPr>
      <w:r w:rsidRPr="00C8647B">
        <w:rPr>
          <w:rFonts w:ascii="Arial" w:hAnsi="Arial" w:cs="Arial"/>
          <w:b/>
          <w:bCs/>
          <w:color w:val="000000" w:themeColor="text1"/>
          <w:sz w:val="24"/>
          <w:szCs w:val="24"/>
        </w:rPr>
        <w:t>Su</w:t>
      </w:r>
      <w:r w:rsidR="00D83CD7">
        <w:rPr>
          <w:rFonts w:ascii="Arial" w:hAnsi="Arial" w:cs="Arial"/>
          <w:b/>
          <w:bCs/>
          <w:color w:val="000000" w:themeColor="text1"/>
          <w:sz w:val="24"/>
          <w:szCs w:val="24"/>
        </w:rPr>
        <w:t>zanne</w:t>
      </w:r>
      <w:r w:rsidRPr="00C8647B">
        <w:rPr>
          <w:rFonts w:ascii="Arial" w:hAnsi="Arial" w:cs="Arial"/>
          <w:b/>
          <w:bCs/>
          <w:color w:val="000000" w:themeColor="text1"/>
          <w:sz w:val="24"/>
          <w:szCs w:val="24"/>
        </w:rPr>
        <w:t xml:space="preserve"> Jackson</w:t>
      </w:r>
    </w:p>
    <w:p w14:paraId="7892BB0B" w14:textId="77777777" w:rsidR="00C8647B" w:rsidRPr="00C8647B" w:rsidRDefault="00C8647B" w:rsidP="00C8647B">
      <w:pPr>
        <w:jc w:val="center"/>
        <w:rPr>
          <w:rFonts w:ascii="Arial" w:hAnsi="Arial" w:cs="Arial"/>
          <w:b/>
          <w:bCs/>
          <w:color w:val="000000" w:themeColor="text1"/>
          <w:sz w:val="24"/>
          <w:szCs w:val="24"/>
        </w:rPr>
      </w:pPr>
      <w:r w:rsidRPr="00C8647B">
        <w:rPr>
          <w:rFonts w:ascii="Arial" w:hAnsi="Arial" w:cs="Arial"/>
          <w:b/>
          <w:bCs/>
          <w:color w:val="000000" w:themeColor="text1"/>
          <w:sz w:val="24"/>
          <w:szCs w:val="24"/>
        </w:rPr>
        <w:t>(Clinical Director for Patient Safety and Quality)</w:t>
      </w:r>
    </w:p>
    <w:p w14:paraId="301E8564" w14:textId="77777777" w:rsidR="00C8647B" w:rsidRPr="00C8647B" w:rsidRDefault="00C8647B" w:rsidP="00C8647B">
      <w:pPr>
        <w:jc w:val="center"/>
        <w:rPr>
          <w:rFonts w:ascii="Arial" w:hAnsi="Arial" w:cs="Arial"/>
          <w:b/>
          <w:bCs/>
          <w:color w:val="000000" w:themeColor="text1"/>
          <w:sz w:val="24"/>
          <w:szCs w:val="24"/>
        </w:rPr>
      </w:pPr>
    </w:p>
    <w:p w14:paraId="1DF0127D" w14:textId="77777777" w:rsidR="00C8647B" w:rsidRPr="00C8647B" w:rsidRDefault="00C8647B" w:rsidP="00C8647B">
      <w:pPr>
        <w:jc w:val="center"/>
        <w:rPr>
          <w:rFonts w:ascii="Arial" w:hAnsi="Arial" w:cs="Arial"/>
          <w:b/>
          <w:bCs/>
          <w:color w:val="000000" w:themeColor="text1"/>
          <w:sz w:val="24"/>
          <w:szCs w:val="24"/>
        </w:rPr>
      </w:pPr>
      <w:r w:rsidRPr="00C8647B">
        <w:rPr>
          <w:rFonts w:ascii="Arial" w:hAnsi="Arial" w:cs="Arial"/>
          <w:b/>
          <w:bCs/>
          <w:color w:val="000000" w:themeColor="text1"/>
          <w:sz w:val="24"/>
          <w:szCs w:val="24"/>
        </w:rPr>
        <w:t>Lorna Clark</w:t>
      </w:r>
    </w:p>
    <w:p w14:paraId="1E0211FD" w14:textId="77777777" w:rsidR="00C8647B" w:rsidRPr="00C8647B" w:rsidRDefault="00C8647B" w:rsidP="00C8647B">
      <w:pPr>
        <w:jc w:val="center"/>
        <w:rPr>
          <w:rFonts w:ascii="Arial" w:hAnsi="Arial" w:cs="Arial"/>
          <w:b/>
          <w:bCs/>
          <w:color w:val="000000" w:themeColor="text1"/>
          <w:sz w:val="24"/>
          <w:szCs w:val="24"/>
        </w:rPr>
      </w:pPr>
      <w:r w:rsidRPr="00C8647B">
        <w:rPr>
          <w:rFonts w:ascii="Arial" w:hAnsi="Arial" w:cs="Arial"/>
          <w:b/>
          <w:bCs/>
          <w:color w:val="000000" w:themeColor="text1"/>
          <w:sz w:val="24"/>
          <w:szCs w:val="24"/>
        </w:rPr>
        <w:t>(Assistant Director of Pharmacy)</w:t>
      </w:r>
    </w:p>
    <w:p w14:paraId="5078E2D0" w14:textId="77777777" w:rsidR="00C8647B" w:rsidRPr="00C8647B" w:rsidRDefault="00C8647B" w:rsidP="00C8647B">
      <w:pPr>
        <w:jc w:val="center"/>
        <w:rPr>
          <w:rFonts w:ascii="Arial" w:hAnsi="Arial" w:cs="Arial"/>
          <w:b/>
          <w:bCs/>
          <w:color w:val="000000" w:themeColor="text1"/>
          <w:sz w:val="24"/>
          <w:szCs w:val="24"/>
        </w:rPr>
      </w:pPr>
    </w:p>
    <w:p w14:paraId="48A21F7A" w14:textId="77777777" w:rsidR="00C8647B" w:rsidRPr="00C8647B" w:rsidRDefault="00C8647B" w:rsidP="00C8647B">
      <w:pPr>
        <w:jc w:val="center"/>
        <w:rPr>
          <w:rFonts w:ascii="Arial" w:hAnsi="Arial" w:cs="Arial"/>
          <w:b/>
          <w:bCs/>
          <w:color w:val="000000" w:themeColor="text1"/>
          <w:sz w:val="24"/>
          <w:szCs w:val="24"/>
        </w:rPr>
      </w:pPr>
      <w:r w:rsidRPr="00C8647B">
        <w:rPr>
          <w:rFonts w:ascii="Arial" w:hAnsi="Arial" w:cs="Arial"/>
          <w:b/>
          <w:bCs/>
          <w:color w:val="000000" w:themeColor="text1"/>
          <w:sz w:val="24"/>
          <w:szCs w:val="24"/>
        </w:rPr>
        <w:t>Gavin Snelson</w:t>
      </w:r>
    </w:p>
    <w:p w14:paraId="0E9E63F7" w14:textId="77777777" w:rsidR="00C8647B" w:rsidRPr="00C8647B" w:rsidRDefault="00C8647B" w:rsidP="00C8647B">
      <w:pPr>
        <w:jc w:val="center"/>
        <w:rPr>
          <w:rFonts w:ascii="Arial" w:hAnsi="Arial" w:cs="Arial"/>
          <w:b/>
          <w:bCs/>
          <w:color w:val="000000" w:themeColor="text1"/>
          <w:sz w:val="24"/>
          <w:szCs w:val="24"/>
        </w:rPr>
      </w:pPr>
      <w:r w:rsidRPr="00C8647B">
        <w:rPr>
          <w:rFonts w:ascii="Arial" w:hAnsi="Arial" w:cs="Arial"/>
          <w:b/>
          <w:bCs/>
          <w:color w:val="000000" w:themeColor="text1"/>
          <w:sz w:val="24"/>
          <w:szCs w:val="24"/>
        </w:rPr>
        <w:t>(PSIRF Implementation Lead)</w:t>
      </w:r>
    </w:p>
    <w:p w14:paraId="6D6DA9A2" w14:textId="77777777" w:rsidR="00C8647B" w:rsidRDefault="00C8647B" w:rsidP="00C8647B">
      <w:pPr>
        <w:rPr>
          <w:rFonts w:ascii="Arial" w:hAnsi="Arial" w:cs="Arial"/>
          <w:b/>
          <w:bCs/>
          <w:sz w:val="24"/>
          <w:szCs w:val="24"/>
          <w:u w:val="single"/>
        </w:rPr>
      </w:pPr>
      <w:r>
        <w:rPr>
          <w:rFonts w:ascii="Arial" w:hAnsi="Arial" w:cs="Arial"/>
          <w:b/>
          <w:bCs/>
          <w:sz w:val="24"/>
          <w:szCs w:val="24"/>
          <w:u w:val="single"/>
        </w:rPr>
        <w:br w:type="page"/>
      </w:r>
    </w:p>
    <w:p w14:paraId="298EA33B" w14:textId="77777777" w:rsidR="000770CF" w:rsidRDefault="000770CF" w:rsidP="00C8647B">
      <w:pPr>
        <w:rPr>
          <w:rFonts w:ascii="Arial" w:hAnsi="Arial" w:cs="Arial"/>
          <w:b/>
          <w:bCs/>
          <w:sz w:val="24"/>
          <w:szCs w:val="24"/>
          <w:u w:val="single"/>
        </w:rPr>
      </w:pPr>
    </w:p>
    <w:p w14:paraId="48A174A4" w14:textId="241BD4BF" w:rsidR="00C8647B" w:rsidRDefault="00C8647B">
      <w:pPr>
        <w:rPr>
          <w:rFonts w:ascii="Arial" w:hAnsi="Arial" w:cs="Arial"/>
          <w:b/>
          <w:bCs/>
          <w:sz w:val="24"/>
          <w:szCs w:val="24"/>
          <w:u w:val="single"/>
        </w:rPr>
      </w:pPr>
    </w:p>
    <w:p w14:paraId="6CD1BF6F" w14:textId="46262D8C" w:rsidR="002B23C4" w:rsidRDefault="002B23C4">
      <w:pPr>
        <w:rPr>
          <w:rFonts w:ascii="Arial" w:hAnsi="Arial" w:cs="Arial"/>
          <w:b/>
          <w:bCs/>
          <w:sz w:val="24"/>
          <w:szCs w:val="24"/>
        </w:rPr>
      </w:pPr>
      <w:r>
        <w:rPr>
          <w:rFonts w:ascii="Arial" w:hAnsi="Arial" w:cs="Arial"/>
          <w:b/>
          <w:bCs/>
          <w:sz w:val="24"/>
          <w:szCs w:val="24"/>
        </w:rPr>
        <w:t>Contents</w:t>
      </w:r>
    </w:p>
    <w:tbl>
      <w:tblPr>
        <w:tblStyle w:val="TableGrid"/>
        <w:tblW w:w="0" w:type="auto"/>
        <w:tblLook w:val="04A0" w:firstRow="1" w:lastRow="0" w:firstColumn="1" w:lastColumn="0" w:noHBand="0" w:noVBand="1"/>
      </w:tblPr>
      <w:tblGrid>
        <w:gridCol w:w="1980"/>
        <w:gridCol w:w="5812"/>
        <w:gridCol w:w="1224"/>
      </w:tblGrid>
      <w:tr w:rsidR="002B23C4" w14:paraId="25C5F315" w14:textId="77777777" w:rsidTr="008A74EA">
        <w:tc>
          <w:tcPr>
            <w:tcW w:w="1980" w:type="dxa"/>
            <w:shd w:val="clear" w:color="auto" w:fill="BFBFBF" w:themeFill="background1" w:themeFillShade="BF"/>
          </w:tcPr>
          <w:p w14:paraId="7FF3C709" w14:textId="77777777" w:rsidR="002B23C4" w:rsidRDefault="002B23C4">
            <w:pPr>
              <w:rPr>
                <w:rFonts w:ascii="Arial" w:hAnsi="Arial" w:cs="Arial"/>
                <w:b/>
                <w:bCs/>
                <w:sz w:val="24"/>
                <w:szCs w:val="24"/>
              </w:rPr>
            </w:pPr>
            <w:r>
              <w:rPr>
                <w:rFonts w:ascii="Arial" w:hAnsi="Arial" w:cs="Arial"/>
                <w:b/>
                <w:bCs/>
                <w:sz w:val="24"/>
                <w:szCs w:val="24"/>
              </w:rPr>
              <w:t>Section</w:t>
            </w:r>
          </w:p>
          <w:p w14:paraId="03794ED1" w14:textId="591CD352" w:rsidR="009F6A28" w:rsidRDefault="009F6A28">
            <w:pPr>
              <w:rPr>
                <w:rFonts w:ascii="Arial" w:hAnsi="Arial" w:cs="Arial"/>
                <w:b/>
                <w:bCs/>
                <w:sz w:val="24"/>
                <w:szCs w:val="24"/>
              </w:rPr>
            </w:pPr>
          </w:p>
        </w:tc>
        <w:tc>
          <w:tcPr>
            <w:tcW w:w="5812" w:type="dxa"/>
            <w:shd w:val="clear" w:color="auto" w:fill="BFBFBF" w:themeFill="background1" w:themeFillShade="BF"/>
          </w:tcPr>
          <w:p w14:paraId="5FD148AB" w14:textId="40D9BC6F" w:rsidR="002B23C4" w:rsidRDefault="002B23C4">
            <w:pPr>
              <w:rPr>
                <w:rFonts w:ascii="Arial" w:hAnsi="Arial" w:cs="Arial"/>
                <w:b/>
                <w:bCs/>
                <w:sz w:val="24"/>
                <w:szCs w:val="24"/>
              </w:rPr>
            </w:pPr>
            <w:r>
              <w:rPr>
                <w:rFonts w:ascii="Arial" w:hAnsi="Arial" w:cs="Arial"/>
                <w:b/>
                <w:bCs/>
                <w:sz w:val="24"/>
                <w:szCs w:val="24"/>
              </w:rPr>
              <w:t>Contents</w:t>
            </w:r>
          </w:p>
        </w:tc>
        <w:tc>
          <w:tcPr>
            <w:tcW w:w="1224" w:type="dxa"/>
            <w:shd w:val="clear" w:color="auto" w:fill="BFBFBF" w:themeFill="background1" w:themeFillShade="BF"/>
          </w:tcPr>
          <w:p w14:paraId="7ADDB06B" w14:textId="44A3051F" w:rsidR="002B23C4" w:rsidRDefault="002B23C4">
            <w:pPr>
              <w:rPr>
                <w:rFonts w:ascii="Arial" w:hAnsi="Arial" w:cs="Arial"/>
                <w:b/>
                <w:bCs/>
                <w:sz w:val="24"/>
                <w:szCs w:val="24"/>
              </w:rPr>
            </w:pPr>
            <w:r>
              <w:rPr>
                <w:rFonts w:ascii="Arial" w:hAnsi="Arial" w:cs="Arial"/>
                <w:b/>
                <w:bCs/>
                <w:sz w:val="24"/>
                <w:szCs w:val="24"/>
              </w:rPr>
              <w:t>Page</w:t>
            </w:r>
          </w:p>
        </w:tc>
      </w:tr>
      <w:tr w:rsidR="002B23C4" w14:paraId="03144EE6" w14:textId="77777777" w:rsidTr="008A74EA">
        <w:tc>
          <w:tcPr>
            <w:tcW w:w="1980" w:type="dxa"/>
          </w:tcPr>
          <w:p w14:paraId="360B29FF" w14:textId="26A4E022" w:rsidR="002B23C4" w:rsidRDefault="0026049D">
            <w:pPr>
              <w:rPr>
                <w:rFonts w:ascii="Arial" w:hAnsi="Arial" w:cs="Arial"/>
                <w:b/>
                <w:bCs/>
                <w:sz w:val="24"/>
                <w:szCs w:val="24"/>
              </w:rPr>
            </w:pPr>
            <w:r>
              <w:rPr>
                <w:rFonts w:ascii="Arial" w:hAnsi="Arial" w:cs="Arial"/>
                <w:b/>
                <w:bCs/>
                <w:sz w:val="24"/>
                <w:szCs w:val="24"/>
              </w:rPr>
              <w:t>1</w:t>
            </w:r>
          </w:p>
        </w:tc>
        <w:tc>
          <w:tcPr>
            <w:tcW w:w="5812" w:type="dxa"/>
          </w:tcPr>
          <w:p w14:paraId="6556EC68" w14:textId="04DD6185" w:rsidR="002B23C4" w:rsidRPr="0026049D" w:rsidRDefault="002B23C4" w:rsidP="002B23C4">
            <w:pPr>
              <w:spacing w:after="160" w:line="259" w:lineRule="auto"/>
              <w:rPr>
                <w:rFonts w:ascii="Arial" w:hAnsi="Arial" w:cs="Arial"/>
              </w:rPr>
            </w:pPr>
            <w:r w:rsidRPr="0026049D">
              <w:rPr>
                <w:rFonts w:ascii="Arial" w:hAnsi="Arial" w:cs="Arial"/>
              </w:rPr>
              <w:t>Introduction</w:t>
            </w:r>
          </w:p>
        </w:tc>
        <w:tc>
          <w:tcPr>
            <w:tcW w:w="1224" w:type="dxa"/>
          </w:tcPr>
          <w:p w14:paraId="52B84AA4" w14:textId="69D7622D" w:rsidR="002B23C4" w:rsidRPr="008A74EA" w:rsidRDefault="008A74EA">
            <w:pPr>
              <w:rPr>
                <w:rFonts w:ascii="Arial" w:hAnsi="Arial" w:cs="Arial"/>
                <w:sz w:val="24"/>
                <w:szCs w:val="24"/>
              </w:rPr>
            </w:pPr>
            <w:r w:rsidRPr="008A74EA">
              <w:rPr>
                <w:rFonts w:ascii="Arial" w:hAnsi="Arial" w:cs="Arial"/>
                <w:sz w:val="24"/>
                <w:szCs w:val="24"/>
              </w:rPr>
              <w:t>3</w:t>
            </w:r>
          </w:p>
        </w:tc>
      </w:tr>
      <w:tr w:rsidR="002B23C4" w14:paraId="4FC9C6C4" w14:textId="77777777" w:rsidTr="008A74EA">
        <w:tc>
          <w:tcPr>
            <w:tcW w:w="1980" w:type="dxa"/>
          </w:tcPr>
          <w:p w14:paraId="3D236E73" w14:textId="1E372E27" w:rsidR="002B23C4" w:rsidRDefault="0026049D">
            <w:pPr>
              <w:rPr>
                <w:rFonts w:ascii="Arial" w:hAnsi="Arial" w:cs="Arial"/>
                <w:b/>
                <w:bCs/>
                <w:sz w:val="24"/>
                <w:szCs w:val="24"/>
              </w:rPr>
            </w:pPr>
            <w:r>
              <w:rPr>
                <w:rFonts w:ascii="Arial" w:hAnsi="Arial" w:cs="Arial"/>
                <w:b/>
                <w:bCs/>
                <w:sz w:val="24"/>
                <w:szCs w:val="24"/>
              </w:rPr>
              <w:t>2</w:t>
            </w:r>
          </w:p>
        </w:tc>
        <w:tc>
          <w:tcPr>
            <w:tcW w:w="5812" w:type="dxa"/>
          </w:tcPr>
          <w:p w14:paraId="135101A8" w14:textId="182E6B74" w:rsidR="002B23C4" w:rsidRPr="0026049D" w:rsidRDefault="002B23C4" w:rsidP="002B23C4">
            <w:pPr>
              <w:spacing w:after="160" w:line="259" w:lineRule="auto"/>
              <w:rPr>
                <w:rFonts w:ascii="Arial" w:hAnsi="Arial" w:cs="Arial"/>
              </w:rPr>
            </w:pPr>
            <w:r w:rsidRPr="0026049D">
              <w:rPr>
                <w:rFonts w:ascii="Arial" w:hAnsi="Arial" w:cs="Arial"/>
              </w:rPr>
              <w:t xml:space="preserve">Our services </w:t>
            </w:r>
          </w:p>
        </w:tc>
        <w:tc>
          <w:tcPr>
            <w:tcW w:w="1224" w:type="dxa"/>
          </w:tcPr>
          <w:p w14:paraId="25B94647" w14:textId="06DE3F61" w:rsidR="002B23C4" w:rsidRPr="008A74EA" w:rsidRDefault="008A74EA">
            <w:pPr>
              <w:rPr>
                <w:rFonts w:ascii="Arial" w:hAnsi="Arial" w:cs="Arial"/>
                <w:sz w:val="24"/>
                <w:szCs w:val="24"/>
              </w:rPr>
            </w:pPr>
            <w:r w:rsidRPr="008A74EA">
              <w:rPr>
                <w:rFonts w:ascii="Arial" w:hAnsi="Arial" w:cs="Arial"/>
                <w:sz w:val="24"/>
                <w:szCs w:val="24"/>
              </w:rPr>
              <w:t>3</w:t>
            </w:r>
          </w:p>
        </w:tc>
      </w:tr>
      <w:tr w:rsidR="002B23C4" w14:paraId="3A1DF269" w14:textId="77777777" w:rsidTr="008A74EA">
        <w:tc>
          <w:tcPr>
            <w:tcW w:w="1980" w:type="dxa"/>
          </w:tcPr>
          <w:p w14:paraId="0ADB3728" w14:textId="6A2E6FDE" w:rsidR="002B23C4" w:rsidRDefault="0026049D">
            <w:pPr>
              <w:rPr>
                <w:rFonts w:ascii="Arial" w:hAnsi="Arial" w:cs="Arial"/>
                <w:b/>
                <w:bCs/>
                <w:sz w:val="24"/>
                <w:szCs w:val="24"/>
              </w:rPr>
            </w:pPr>
            <w:r>
              <w:rPr>
                <w:rFonts w:ascii="Arial" w:hAnsi="Arial" w:cs="Arial"/>
                <w:b/>
                <w:bCs/>
                <w:sz w:val="24"/>
                <w:szCs w:val="24"/>
              </w:rPr>
              <w:t>3</w:t>
            </w:r>
          </w:p>
        </w:tc>
        <w:tc>
          <w:tcPr>
            <w:tcW w:w="5812" w:type="dxa"/>
          </w:tcPr>
          <w:p w14:paraId="7CA4FB1B" w14:textId="77777777" w:rsidR="0026049D" w:rsidRDefault="0026049D" w:rsidP="0026049D">
            <w:pPr>
              <w:rPr>
                <w:rFonts w:ascii="Arial" w:hAnsi="Arial" w:cs="Arial"/>
              </w:rPr>
            </w:pPr>
            <w:r w:rsidRPr="0026049D">
              <w:rPr>
                <w:rFonts w:ascii="Arial" w:hAnsi="Arial" w:cs="Arial"/>
              </w:rPr>
              <w:t>Definitions</w:t>
            </w:r>
          </w:p>
          <w:p w14:paraId="16DFA6DE" w14:textId="7927BC35" w:rsidR="0026049D" w:rsidRPr="0026049D" w:rsidRDefault="0026049D" w:rsidP="0026049D">
            <w:pPr>
              <w:rPr>
                <w:rFonts w:ascii="Arial" w:hAnsi="Arial" w:cs="Arial"/>
              </w:rPr>
            </w:pPr>
          </w:p>
        </w:tc>
        <w:tc>
          <w:tcPr>
            <w:tcW w:w="1224" w:type="dxa"/>
          </w:tcPr>
          <w:p w14:paraId="1D114201" w14:textId="71C0DA39" w:rsidR="002B23C4" w:rsidRPr="008A74EA" w:rsidRDefault="008A74EA">
            <w:pPr>
              <w:rPr>
                <w:rFonts w:ascii="Arial" w:hAnsi="Arial" w:cs="Arial"/>
                <w:sz w:val="24"/>
                <w:szCs w:val="24"/>
              </w:rPr>
            </w:pPr>
            <w:r w:rsidRPr="008A74EA">
              <w:rPr>
                <w:rFonts w:ascii="Arial" w:hAnsi="Arial" w:cs="Arial"/>
                <w:sz w:val="24"/>
                <w:szCs w:val="24"/>
              </w:rPr>
              <w:t>4-5</w:t>
            </w:r>
          </w:p>
        </w:tc>
      </w:tr>
      <w:tr w:rsidR="002B23C4" w14:paraId="31A100C7" w14:textId="77777777" w:rsidTr="008A74EA">
        <w:tc>
          <w:tcPr>
            <w:tcW w:w="1980" w:type="dxa"/>
          </w:tcPr>
          <w:p w14:paraId="29E97C04" w14:textId="12868413" w:rsidR="002B23C4" w:rsidRDefault="0026049D">
            <w:pPr>
              <w:rPr>
                <w:rFonts w:ascii="Arial" w:hAnsi="Arial" w:cs="Arial"/>
                <w:b/>
                <w:bCs/>
                <w:sz w:val="24"/>
                <w:szCs w:val="24"/>
              </w:rPr>
            </w:pPr>
            <w:r>
              <w:rPr>
                <w:rFonts w:ascii="Arial" w:hAnsi="Arial" w:cs="Arial"/>
                <w:b/>
                <w:bCs/>
                <w:sz w:val="24"/>
                <w:szCs w:val="24"/>
              </w:rPr>
              <w:t>4</w:t>
            </w:r>
          </w:p>
        </w:tc>
        <w:tc>
          <w:tcPr>
            <w:tcW w:w="5812" w:type="dxa"/>
          </w:tcPr>
          <w:p w14:paraId="644C9CF6" w14:textId="77777777" w:rsidR="0026049D" w:rsidRDefault="0026049D" w:rsidP="0026049D">
            <w:pPr>
              <w:rPr>
                <w:rFonts w:ascii="Arial" w:hAnsi="Arial" w:cs="Arial"/>
              </w:rPr>
            </w:pPr>
            <w:r w:rsidRPr="0026049D">
              <w:rPr>
                <w:rFonts w:ascii="Arial" w:hAnsi="Arial" w:cs="Arial"/>
              </w:rPr>
              <w:t>Evaluation</w:t>
            </w:r>
          </w:p>
          <w:p w14:paraId="7D475F12" w14:textId="0F7379C6" w:rsidR="0026049D" w:rsidRPr="0026049D" w:rsidRDefault="0026049D">
            <w:pPr>
              <w:rPr>
                <w:rFonts w:ascii="Arial" w:hAnsi="Arial" w:cs="Arial"/>
              </w:rPr>
            </w:pPr>
          </w:p>
        </w:tc>
        <w:tc>
          <w:tcPr>
            <w:tcW w:w="1224" w:type="dxa"/>
          </w:tcPr>
          <w:p w14:paraId="36172987" w14:textId="0E80A8D5" w:rsidR="002B23C4" w:rsidRPr="008A74EA" w:rsidRDefault="008A74EA">
            <w:pPr>
              <w:rPr>
                <w:rFonts w:ascii="Arial" w:hAnsi="Arial" w:cs="Arial"/>
                <w:sz w:val="24"/>
                <w:szCs w:val="24"/>
              </w:rPr>
            </w:pPr>
            <w:r w:rsidRPr="008A74EA">
              <w:rPr>
                <w:rFonts w:ascii="Arial" w:hAnsi="Arial" w:cs="Arial"/>
                <w:sz w:val="24"/>
                <w:szCs w:val="24"/>
              </w:rPr>
              <w:t>5</w:t>
            </w:r>
          </w:p>
        </w:tc>
      </w:tr>
      <w:tr w:rsidR="002B23C4" w14:paraId="2857A428" w14:textId="77777777" w:rsidTr="008A74EA">
        <w:tc>
          <w:tcPr>
            <w:tcW w:w="1980" w:type="dxa"/>
          </w:tcPr>
          <w:p w14:paraId="08A798E1" w14:textId="041CA85E" w:rsidR="002B23C4" w:rsidRDefault="003B6F8A">
            <w:pPr>
              <w:rPr>
                <w:rFonts w:ascii="Arial" w:hAnsi="Arial" w:cs="Arial"/>
                <w:b/>
                <w:bCs/>
                <w:sz w:val="24"/>
                <w:szCs w:val="24"/>
              </w:rPr>
            </w:pPr>
            <w:r>
              <w:rPr>
                <w:rFonts w:ascii="Arial" w:hAnsi="Arial" w:cs="Arial"/>
                <w:b/>
                <w:bCs/>
                <w:sz w:val="24"/>
                <w:szCs w:val="24"/>
              </w:rPr>
              <w:t>5</w:t>
            </w:r>
          </w:p>
        </w:tc>
        <w:tc>
          <w:tcPr>
            <w:tcW w:w="5812" w:type="dxa"/>
          </w:tcPr>
          <w:p w14:paraId="1978AC3C" w14:textId="77777777" w:rsidR="002B23C4" w:rsidRDefault="00BD08AF">
            <w:pPr>
              <w:rPr>
                <w:rFonts w:ascii="Arial" w:hAnsi="Arial" w:cs="Arial"/>
              </w:rPr>
            </w:pPr>
            <w:r w:rsidRPr="0026049D">
              <w:rPr>
                <w:rFonts w:ascii="Arial" w:hAnsi="Arial" w:cs="Arial"/>
              </w:rPr>
              <w:t>Stakeholder engagement</w:t>
            </w:r>
          </w:p>
          <w:p w14:paraId="20A0A743" w14:textId="7E78139A" w:rsidR="0026049D" w:rsidRPr="0026049D" w:rsidRDefault="0026049D">
            <w:pPr>
              <w:rPr>
                <w:rFonts w:ascii="Arial" w:hAnsi="Arial" w:cs="Arial"/>
              </w:rPr>
            </w:pPr>
          </w:p>
        </w:tc>
        <w:tc>
          <w:tcPr>
            <w:tcW w:w="1224" w:type="dxa"/>
          </w:tcPr>
          <w:p w14:paraId="4E3D7FAB" w14:textId="78D9AB0C" w:rsidR="002B23C4" w:rsidRPr="008A74EA" w:rsidRDefault="008A74EA">
            <w:pPr>
              <w:rPr>
                <w:rFonts w:ascii="Arial" w:hAnsi="Arial" w:cs="Arial"/>
                <w:sz w:val="24"/>
                <w:szCs w:val="24"/>
              </w:rPr>
            </w:pPr>
            <w:r w:rsidRPr="008A74EA">
              <w:rPr>
                <w:rFonts w:ascii="Arial" w:hAnsi="Arial" w:cs="Arial"/>
                <w:sz w:val="24"/>
                <w:szCs w:val="24"/>
              </w:rPr>
              <w:t>6</w:t>
            </w:r>
          </w:p>
        </w:tc>
      </w:tr>
      <w:tr w:rsidR="002B23C4" w14:paraId="761330F4" w14:textId="77777777" w:rsidTr="008A74EA">
        <w:tc>
          <w:tcPr>
            <w:tcW w:w="1980" w:type="dxa"/>
          </w:tcPr>
          <w:p w14:paraId="45414EA0" w14:textId="5A73D36C" w:rsidR="002B23C4" w:rsidRDefault="003B6F8A">
            <w:pPr>
              <w:rPr>
                <w:rFonts w:ascii="Arial" w:hAnsi="Arial" w:cs="Arial"/>
                <w:b/>
                <w:bCs/>
                <w:sz w:val="24"/>
                <w:szCs w:val="24"/>
              </w:rPr>
            </w:pPr>
            <w:r>
              <w:rPr>
                <w:rFonts w:ascii="Arial" w:hAnsi="Arial" w:cs="Arial"/>
                <w:b/>
                <w:bCs/>
                <w:sz w:val="24"/>
                <w:szCs w:val="24"/>
              </w:rPr>
              <w:t>6</w:t>
            </w:r>
          </w:p>
        </w:tc>
        <w:tc>
          <w:tcPr>
            <w:tcW w:w="5812" w:type="dxa"/>
          </w:tcPr>
          <w:p w14:paraId="1FE7652E" w14:textId="77777777" w:rsidR="002B23C4" w:rsidRPr="0026049D" w:rsidRDefault="00BD08AF" w:rsidP="009F6A28">
            <w:pPr>
              <w:spacing w:line="360" w:lineRule="auto"/>
              <w:rPr>
                <w:rFonts w:ascii="Arial" w:hAnsi="Arial" w:cs="Arial"/>
              </w:rPr>
            </w:pPr>
            <w:r w:rsidRPr="0026049D">
              <w:rPr>
                <w:rFonts w:ascii="Arial" w:hAnsi="Arial" w:cs="Arial"/>
              </w:rPr>
              <w:t>Defining our patient safety incident profile</w:t>
            </w:r>
          </w:p>
          <w:p w14:paraId="1BB57650" w14:textId="398130E0" w:rsidR="00BD08AF" w:rsidRPr="0026049D" w:rsidRDefault="003B6F8A" w:rsidP="009F6A28">
            <w:pPr>
              <w:spacing w:line="360" w:lineRule="auto"/>
              <w:rPr>
                <w:rFonts w:ascii="Arial" w:hAnsi="Arial" w:cs="Arial"/>
              </w:rPr>
            </w:pPr>
            <w:r>
              <w:rPr>
                <w:rFonts w:ascii="Arial" w:hAnsi="Arial" w:cs="Arial"/>
              </w:rPr>
              <w:t>6</w:t>
            </w:r>
            <w:r w:rsidR="00BD08AF" w:rsidRPr="0026049D">
              <w:rPr>
                <w:rFonts w:ascii="Arial" w:hAnsi="Arial" w:cs="Arial"/>
              </w:rPr>
              <w:t>.1</w:t>
            </w:r>
            <w:r w:rsidR="00BD08AF" w:rsidRPr="0026049D">
              <w:t xml:space="preserve"> </w:t>
            </w:r>
            <w:r w:rsidR="00BD08AF" w:rsidRPr="0026049D">
              <w:rPr>
                <w:rFonts w:ascii="Arial" w:hAnsi="Arial" w:cs="Arial"/>
              </w:rPr>
              <w:t>Situational analysis</w:t>
            </w:r>
          </w:p>
          <w:p w14:paraId="75721D86" w14:textId="354E032E" w:rsidR="006547E5" w:rsidRPr="0026049D" w:rsidRDefault="003B6F8A" w:rsidP="009F6A28">
            <w:pPr>
              <w:spacing w:line="360" w:lineRule="auto"/>
              <w:rPr>
                <w:rFonts w:ascii="Arial" w:hAnsi="Arial" w:cs="Arial"/>
              </w:rPr>
            </w:pPr>
            <w:r>
              <w:rPr>
                <w:rFonts w:ascii="Arial" w:hAnsi="Arial" w:cs="Arial"/>
              </w:rPr>
              <w:t>6</w:t>
            </w:r>
            <w:r w:rsidR="006547E5" w:rsidRPr="0026049D">
              <w:rPr>
                <w:rFonts w:ascii="Arial" w:hAnsi="Arial" w:cs="Arial"/>
              </w:rPr>
              <w:t xml:space="preserve">.2 Themes and justification for improvement priorities </w:t>
            </w:r>
          </w:p>
        </w:tc>
        <w:tc>
          <w:tcPr>
            <w:tcW w:w="1224" w:type="dxa"/>
          </w:tcPr>
          <w:p w14:paraId="346E1AAE" w14:textId="77777777" w:rsidR="002B23C4" w:rsidRDefault="002B23C4">
            <w:pPr>
              <w:rPr>
                <w:rFonts w:ascii="Arial" w:hAnsi="Arial" w:cs="Arial"/>
                <w:sz w:val="24"/>
                <w:szCs w:val="24"/>
              </w:rPr>
            </w:pPr>
          </w:p>
          <w:p w14:paraId="538E0D19" w14:textId="77777777" w:rsidR="002E4309" w:rsidRDefault="002E4309" w:rsidP="00010553">
            <w:pPr>
              <w:spacing w:line="360" w:lineRule="auto"/>
              <w:rPr>
                <w:rFonts w:ascii="Arial" w:hAnsi="Arial" w:cs="Arial"/>
                <w:sz w:val="24"/>
                <w:szCs w:val="24"/>
              </w:rPr>
            </w:pPr>
            <w:r>
              <w:rPr>
                <w:rFonts w:ascii="Arial" w:hAnsi="Arial" w:cs="Arial"/>
                <w:sz w:val="24"/>
                <w:szCs w:val="24"/>
              </w:rPr>
              <w:t>6</w:t>
            </w:r>
          </w:p>
          <w:p w14:paraId="35E38FDF" w14:textId="759CE149" w:rsidR="00010553" w:rsidRPr="008A74EA" w:rsidRDefault="00010553" w:rsidP="00010553">
            <w:pPr>
              <w:spacing w:line="360" w:lineRule="auto"/>
              <w:rPr>
                <w:rFonts w:ascii="Arial" w:hAnsi="Arial" w:cs="Arial"/>
                <w:sz w:val="24"/>
                <w:szCs w:val="24"/>
              </w:rPr>
            </w:pPr>
            <w:r>
              <w:rPr>
                <w:rFonts w:ascii="Arial" w:hAnsi="Arial" w:cs="Arial"/>
                <w:sz w:val="24"/>
                <w:szCs w:val="24"/>
              </w:rPr>
              <w:t>7</w:t>
            </w:r>
          </w:p>
        </w:tc>
      </w:tr>
      <w:tr w:rsidR="002B23C4" w14:paraId="147D0B83" w14:textId="77777777" w:rsidTr="008A74EA">
        <w:tc>
          <w:tcPr>
            <w:tcW w:w="1980" w:type="dxa"/>
          </w:tcPr>
          <w:p w14:paraId="594A03C4" w14:textId="0CDCCBE3" w:rsidR="002B23C4" w:rsidRDefault="003B6F8A">
            <w:pPr>
              <w:rPr>
                <w:rFonts w:ascii="Arial" w:hAnsi="Arial" w:cs="Arial"/>
                <w:b/>
                <w:bCs/>
                <w:sz w:val="24"/>
                <w:szCs w:val="24"/>
              </w:rPr>
            </w:pPr>
            <w:r>
              <w:rPr>
                <w:rFonts w:ascii="Arial" w:hAnsi="Arial" w:cs="Arial"/>
                <w:b/>
                <w:bCs/>
                <w:sz w:val="24"/>
                <w:szCs w:val="24"/>
              </w:rPr>
              <w:t>7</w:t>
            </w:r>
          </w:p>
        </w:tc>
        <w:tc>
          <w:tcPr>
            <w:tcW w:w="5812" w:type="dxa"/>
          </w:tcPr>
          <w:p w14:paraId="3817DFCB" w14:textId="52045E59" w:rsidR="006547E5" w:rsidRPr="0026049D" w:rsidRDefault="006547E5" w:rsidP="006547E5">
            <w:pPr>
              <w:rPr>
                <w:rFonts w:ascii="Arial" w:hAnsi="Arial" w:cs="Arial"/>
              </w:rPr>
            </w:pPr>
            <w:r w:rsidRPr="0026049D">
              <w:rPr>
                <w:rFonts w:ascii="Arial" w:hAnsi="Arial" w:cs="Arial"/>
              </w:rPr>
              <w:t>Types of incident</w:t>
            </w:r>
          </w:p>
          <w:p w14:paraId="077F4B40" w14:textId="77777777" w:rsidR="002B23C4" w:rsidRPr="0026049D" w:rsidRDefault="002B23C4">
            <w:pPr>
              <w:rPr>
                <w:rFonts w:ascii="Arial" w:hAnsi="Arial" w:cs="Arial"/>
              </w:rPr>
            </w:pPr>
          </w:p>
        </w:tc>
        <w:tc>
          <w:tcPr>
            <w:tcW w:w="1224" w:type="dxa"/>
          </w:tcPr>
          <w:p w14:paraId="39768FF2" w14:textId="7C45F4EE" w:rsidR="002B23C4" w:rsidRPr="008A74EA" w:rsidRDefault="00032024">
            <w:pPr>
              <w:rPr>
                <w:rFonts w:ascii="Arial" w:hAnsi="Arial" w:cs="Arial"/>
                <w:sz w:val="24"/>
                <w:szCs w:val="24"/>
              </w:rPr>
            </w:pPr>
            <w:r>
              <w:rPr>
                <w:rFonts w:ascii="Arial" w:hAnsi="Arial" w:cs="Arial"/>
                <w:sz w:val="24"/>
                <w:szCs w:val="24"/>
              </w:rPr>
              <w:t>9</w:t>
            </w:r>
          </w:p>
        </w:tc>
      </w:tr>
      <w:tr w:rsidR="006547E5" w14:paraId="2EBFA71D" w14:textId="77777777" w:rsidTr="008A74EA">
        <w:tc>
          <w:tcPr>
            <w:tcW w:w="1980" w:type="dxa"/>
          </w:tcPr>
          <w:p w14:paraId="1AEA1B75" w14:textId="0D868495" w:rsidR="006547E5" w:rsidRDefault="003B6F8A">
            <w:pPr>
              <w:rPr>
                <w:rFonts w:ascii="Arial" w:hAnsi="Arial" w:cs="Arial"/>
                <w:b/>
                <w:bCs/>
                <w:sz w:val="24"/>
                <w:szCs w:val="24"/>
              </w:rPr>
            </w:pPr>
            <w:r>
              <w:rPr>
                <w:rFonts w:ascii="Arial" w:hAnsi="Arial" w:cs="Arial"/>
                <w:b/>
                <w:bCs/>
                <w:sz w:val="24"/>
                <w:szCs w:val="24"/>
              </w:rPr>
              <w:t>8</w:t>
            </w:r>
          </w:p>
        </w:tc>
        <w:tc>
          <w:tcPr>
            <w:tcW w:w="5812" w:type="dxa"/>
          </w:tcPr>
          <w:p w14:paraId="15D9DE04" w14:textId="77777777" w:rsidR="006547E5" w:rsidRDefault="006547E5" w:rsidP="006547E5">
            <w:pPr>
              <w:rPr>
                <w:rFonts w:ascii="Arial" w:hAnsi="Arial" w:cs="Arial"/>
              </w:rPr>
            </w:pPr>
            <w:r w:rsidRPr="0026049D">
              <w:rPr>
                <w:rFonts w:ascii="Arial" w:hAnsi="Arial" w:cs="Arial"/>
              </w:rPr>
              <w:t>Projected workload</w:t>
            </w:r>
          </w:p>
          <w:p w14:paraId="222C1B51" w14:textId="30E16CFB" w:rsidR="0026049D" w:rsidRPr="0026049D" w:rsidRDefault="0026049D" w:rsidP="006547E5">
            <w:pPr>
              <w:rPr>
                <w:rFonts w:ascii="Arial" w:hAnsi="Arial" w:cs="Arial"/>
              </w:rPr>
            </w:pPr>
          </w:p>
        </w:tc>
        <w:tc>
          <w:tcPr>
            <w:tcW w:w="1224" w:type="dxa"/>
          </w:tcPr>
          <w:p w14:paraId="1120B4AA" w14:textId="7D40360D" w:rsidR="006547E5" w:rsidRPr="008A74EA" w:rsidRDefault="008A74EA">
            <w:pPr>
              <w:rPr>
                <w:rFonts w:ascii="Arial" w:hAnsi="Arial" w:cs="Arial"/>
                <w:sz w:val="24"/>
                <w:szCs w:val="24"/>
              </w:rPr>
            </w:pPr>
            <w:r w:rsidRPr="008A74EA">
              <w:rPr>
                <w:rFonts w:ascii="Arial" w:hAnsi="Arial" w:cs="Arial"/>
                <w:sz w:val="24"/>
                <w:szCs w:val="24"/>
              </w:rPr>
              <w:t>10</w:t>
            </w:r>
          </w:p>
        </w:tc>
      </w:tr>
      <w:tr w:rsidR="006547E5" w14:paraId="0C1BFAB6" w14:textId="77777777" w:rsidTr="008A74EA">
        <w:tc>
          <w:tcPr>
            <w:tcW w:w="1980" w:type="dxa"/>
          </w:tcPr>
          <w:p w14:paraId="497B1D0C" w14:textId="7C98F5AF" w:rsidR="006547E5" w:rsidRDefault="003B6F8A">
            <w:pPr>
              <w:rPr>
                <w:rFonts w:ascii="Arial" w:hAnsi="Arial" w:cs="Arial"/>
                <w:b/>
                <w:bCs/>
                <w:sz w:val="24"/>
                <w:szCs w:val="24"/>
              </w:rPr>
            </w:pPr>
            <w:r>
              <w:rPr>
                <w:rFonts w:ascii="Arial" w:hAnsi="Arial" w:cs="Arial"/>
                <w:b/>
                <w:bCs/>
                <w:sz w:val="24"/>
                <w:szCs w:val="24"/>
              </w:rPr>
              <w:t>9</w:t>
            </w:r>
          </w:p>
        </w:tc>
        <w:tc>
          <w:tcPr>
            <w:tcW w:w="5812" w:type="dxa"/>
          </w:tcPr>
          <w:p w14:paraId="13164288" w14:textId="1867698A" w:rsidR="006547E5" w:rsidRPr="0026049D" w:rsidRDefault="006547E5" w:rsidP="006547E5">
            <w:pPr>
              <w:spacing w:after="160" w:line="259" w:lineRule="auto"/>
              <w:rPr>
                <w:rFonts w:ascii="Arial" w:hAnsi="Arial" w:cs="Arial"/>
              </w:rPr>
            </w:pPr>
            <w:r w:rsidRPr="0026049D">
              <w:rPr>
                <w:rFonts w:ascii="Arial" w:hAnsi="Arial" w:cs="Arial"/>
              </w:rPr>
              <w:t>Responding to incidents</w:t>
            </w:r>
          </w:p>
        </w:tc>
        <w:tc>
          <w:tcPr>
            <w:tcW w:w="1224" w:type="dxa"/>
          </w:tcPr>
          <w:p w14:paraId="580327D5" w14:textId="31C13B30" w:rsidR="006547E5" w:rsidRPr="008A74EA" w:rsidRDefault="008A74EA">
            <w:pPr>
              <w:rPr>
                <w:rFonts w:ascii="Arial" w:hAnsi="Arial" w:cs="Arial"/>
                <w:sz w:val="24"/>
                <w:szCs w:val="24"/>
              </w:rPr>
            </w:pPr>
            <w:r w:rsidRPr="008A74EA">
              <w:rPr>
                <w:rFonts w:ascii="Arial" w:hAnsi="Arial" w:cs="Arial"/>
                <w:sz w:val="24"/>
                <w:szCs w:val="24"/>
              </w:rPr>
              <w:t>1</w:t>
            </w:r>
            <w:r w:rsidR="00032024">
              <w:rPr>
                <w:rFonts w:ascii="Arial" w:hAnsi="Arial" w:cs="Arial"/>
                <w:sz w:val="24"/>
                <w:szCs w:val="24"/>
              </w:rPr>
              <w:t>0</w:t>
            </w:r>
          </w:p>
        </w:tc>
      </w:tr>
      <w:tr w:rsidR="005F06F8" w14:paraId="437D04CF" w14:textId="77777777" w:rsidTr="008A74EA">
        <w:tc>
          <w:tcPr>
            <w:tcW w:w="1980" w:type="dxa"/>
          </w:tcPr>
          <w:p w14:paraId="3937DF15" w14:textId="539DDB49" w:rsidR="005F06F8" w:rsidRDefault="003B6F8A">
            <w:pPr>
              <w:rPr>
                <w:rFonts w:ascii="Arial" w:hAnsi="Arial" w:cs="Arial"/>
                <w:b/>
                <w:bCs/>
                <w:sz w:val="24"/>
                <w:szCs w:val="24"/>
              </w:rPr>
            </w:pPr>
            <w:r>
              <w:rPr>
                <w:rFonts w:ascii="Arial" w:hAnsi="Arial" w:cs="Arial"/>
                <w:b/>
                <w:bCs/>
                <w:sz w:val="24"/>
                <w:szCs w:val="24"/>
              </w:rPr>
              <w:t>10</w:t>
            </w:r>
          </w:p>
        </w:tc>
        <w:tc>
          <w:tcPr>
            <w:tcW w:w="5812" w:type="dxa"/>
          </w:tcPr>
          <w:p w14:paraId="0EC33DC9" w14:textId="77777777" w:rsidR="005F06F8" w:rsidRDefault="005F06F8" w:rsidP="006547E5">
            <w:pPr>
              <w:rPr>
                <w:rFonts w:ascii="Arial" w:hAnsi="Arial" w:cs="Arial"/>
              </w:rPr>
            </w:pPr>
            <w:r w:rsidRPr="0026049D">
              <w:rPr>
                <w:rFonts w:ascii="Arial" w:hAnsi="Arial" w:cs="Arial"/>
              </w:rPr>
              <w:t>Responding to National or regulatory incidents</w:t>
            </w:r>
          </w:p>
          <w:p w14:paraId="2F75FFEC" w14:textId="0B6F04E2" w:rsidR="0026049D" w:rsidRPr="0026049D" w:rsidRDefault="0026049D" w:rsidP="006547E5">
            <w:pPr>
              <w:rPr>
                <w:rFonts w:ascii="Arial" w:hAnsi="Arial" w:cs="Arial"/>
              </w:rPr>
            </w:pPr>
          </w:p>
        </w:tc>
        <w:tc>
          <w:tcPr>
            <w:tcW w:w="1224" w:type="dxa"/>
          </w:tcPr>
          <w:p w14:paraId="5CE7CBA9" w14:textId="334518B1" w:rsidR="005F06F8" w:rsidRPr="008A74EA" w:rsidRDefault="008A74EA">
            <w:pPr>
              <w:rPr>
                <w:rFonts w:ascii="Arial" w:hAnsi="Arial" w:cs="Arial"/>
                <w:sz w:val="24"/>
                <w:szCs w:val="24"/>
              </w:rPr>
            </w:pPr>
            <w:r w:rsidRPr="008A74EA">
              <w:rPr>
                <w:rFonts w:ascii="Arial" w:hAnsi="Arial" w:cs="Arial"/>
                <w:sz w:val="24"/>
                <w:szCs w:val="24"/>
              </w:rPr>
              <w:t>1</w:t>
            </w:r>
            <w:r w:rsidR="003523F6">
              <w:rPr>
                <w:rFonts w:ascii="Arial" w:hAnsi="Arial" w:cs="Arial"/>
                <w:sz w:val="24"/>
                <w:szCs w:val="24"/>
              </w:rPr>
              <w:t>1</w:t>
            </w:r>
          </w:p>
        </w:tc>
      </w:tr>
      <w:tr w:rsidR="000E5EF5" w14:paraId="4B4D5D8A" w14:textId="77777777" w:rsidTr="008A74EA">
        <w:tc>
          <w:tcPr>
            <w:tcW w:w="1980" w:type="dxa"/>
          </w:tcPr>
          <w:p w14:paraId="0E941A21" w14:textId="11F908FC" w:rsidR="000E5EF5" w:rsidRDefault="003B6F8A">
            <w:pPr>
              <w:rPr>
                <w:rFonts w:ascii="Arial" w:hAnsi="Arial" w:cs="Arial"/>
                <w:b/>
                <w:bCs/>
                <w:sz w:val="24"/>
                <w:szCs w:val="24"/>
              </w:rPr>
            </w:pPr>
            <w:r>
              <w:rPr>
                <w:rFonts w:ascii="Arial" w:hAnsi="Arial" w:cs="Arial"/>
                <w:b/>
                <w:bCs/>
                <w:sz w:val="24"/>
                <w:szCs w:val="24"/>
              </w:rPr>
              <w:t>11</w:t>
            </w:r>
          </w:p>
        </w:tc>
        <w:tc>
          <w:tcPr>
            <w:tcW w:w="5812" w:type="dxa"/>
          </w:tcPr>
          <w:p w14:paraId="62BB2F4A" w14:textId="0FAEDF32" w:rsidR="000E5EF5" w:rsidRPr="0026049D" w:rsidRDefault="000E5EF5" w:rsidP="000E5EF5">
            <w:pPr>
              <w:spacing w:after="160" w:line="259" w:lineRule="auto"/>
              <w:rPr>
                <w:rFonts w:ascii="Arial" w:hAnsi="Arial" w:cs="Arial"/>
              </w:rPr>
            </w:pPr>
            <w:r w:rsidRPr="0026049D">
              <w:rPr>
                <w:rFonts w:ascii="Arial" w:hAnsi="Arial" w:cs="Arial"/>
              </w:rPr>
              <w:t>Responding to Trust Priority (improvement) Incidents</w:t>
            </w:r>
          </w:p>
        </w:tc>
        <w:tc>
          <w:tcPr>
            <w:tcW w:w="1224" w:type="dxa"/>
          </w:tcPr>
          <w:p w14:paraId="421218C7" w14:textId="563576F4" w:rsidR="000E5EF5" w:rsidRPr="008A74EA" w:rsidRDefault="008A74EA">
            <w:pPr>
              <w:rPr>
                <w:rFonts w:ascii="Arial" w:hAnsi="Arial" w:cs="Arial"/>
                <w:sz w:val="24"/>
                <w:szCs w:val="24"/>
              </w:rPr>
            </w:pPr>
            <w:r w:rsidRPr="008A74EA">
              <w:rPr>
                <w:rFonts w:ascii="Arial" w:hAnsi="Arial" w:cs="Arial"/>
                <w:sz w:val="24"/>
                <w:szCs w:val="24"/>
              </w:rPr>
              <w:t>1</w:t>
            </w:r>
            <w:r w:rsidR="00B52275">
              <w:rPr>
                <w:rFonts w:ascii="Arial" w:hAnsi="Arial" w:cs="Arial"/>
                <w:sz w:val="24"/>
                <w:szCs w:val="24"/>
              </w:rPr>
              <w:t>2</w:t>
            </w:r>
          </w:p>
        </w:tc>
      </w:tr>
      <w:tr w:rsidR="00EE68F2" w14:paraId="30024D45" w14:textId="77777777" w:rsidTr="008A74EA">
        <w:tc>
          <w:tcPr>
            <w:tcW w:w="1980" w:type="dxa"/>
          </w:tcPr>
          <w:p w14:paraId="25829D57" w14:textId="69F2158C" w:rsidR="00EE68F2" w:rsidRDefault="003B6F8A">
            <w:pPr>
              <w:rPr>
                <w:rFonts w:ascii="Arial" w:hAnsi="Arial" w:cs="Arial"/>
                <w:b/>
                <w:bCs/>
                <w:sz w:val="24"/>
                <w:szCs w:val="24"/>
              </w:rPr>
            </w:pPr>
            <w:r>
              <w:rPr>
                <w:rFonts w:ascii="Arial" w:hAnsi="Arial" w:cs="Arial"/>
                <w:b/>
                <w:bCs/>
                <w:sz w:val="24"/>
                <w:szCs w:val="24"/>
              </w:rPr>
              <w:t>12</w:t>
            </w:r>
          </w:p>
        </w:tc>
        <w:tc>
          <w:tcPr>
            <w:tcW w:w="5812" w:type="dxa"/>
          </w:tcPr>
          <w:p w14:paraId="1EDAE7BA" w14:textId="3BDC3586" w:rsidR="00EE68F2" w:rsidRPr="0026049D" w:rsidRDefault="00EE68F2" w:rsidP="00EE68F2">
            <w:pPr>
              <w:spacing w:after="160" w:line="259" w:lineRule="auto"/>
              <w:rPr>
                <w:rFonts w:ascii="Arial" w:hAnsi="Arial" w:cs="Arial"/>
              </w:rPr>
            </w:pPr>
            <w:r w:rsidRPr="0026049D">
              <w:rPr>
                <w:rFonts w:ascii="Arial" w:hAnsi="Arial" w:cs="Arial"/>
              </w:rPr>
              <w:t>Responding to Other Reported Incidents</w:t>
            </w:r>
          </w:p>
        </w:tc>
        <w:tc>
          <w:tcPr>
            <w:tcW w:w="1224" w:type="dxa"/>
          </w:tcPr>
          <w:p w14:paraId="4EF88B3C" w14:textId="3532421C" w:rsidR="00EE68F2" w:rsidRPr="008A74EA" w:rsidRDefault="008A74EA">
            <w:pPr>
              <w:rPr>
                <w:rFonts w:ascii="Arial" w:hAnsi="Arial" w:cs="Arial"/>
                <w:sz w:val="24"/>
                <w:szCs w:val="24"/>
              </w:rPr>
            </w:pPr>
            <w:r w:rsidRPr="008A74EA">
              <w:rPr>
                <w:rFonts w:ascii="Arial" w:hAnsi="Arial" w:cs="Arial"/>
                <w:sz w:val="24"/>
                <w:szCs w:val="24"/>
              </w:rPr>
              <w:t>13</w:t>
            </w:r>
          </w:p>
        </w:tc>
      </w:tr>
      <w:tr w:rsidR="00EE68F2" w14:paraId="26CE120D" w14:textId="77777777" w:rsidTr="008A74EA">
        <w:tc>
          <w:tcPr>
            <w:tcW w:w="1980" w:type="dxa"/>
          </w:tcPr>
          <w:p w14:paraId="58AAEBF4" w14:textId="12D89F09" w:rsidR="00EE68F2" w:rsidRDefault="003B6F8A">
            <w:pPr>
              <w:rPr>
                <w:rFonts w:ascii="Arial" w:hAnsi="Arial" w:cs="Arial"/>
                <w:b/>
                <w:bCs/>
                <w:sz w:val="24"/>
                <w:szCs w:val="24"/>
              </w:rPr>
            </w:pPr>
            <w:r>
              <w:rPr>
                <w:rFonts w:ascii="Arial" w:hAnsi="Arial" w:cs="Arial"/>
                <w:b/>
                <w:bCs/>
                <w:sz w:val="24"/>
                <w:szCs w:val="24"/>
              </w:rPr>
              <w:t>13</w:t>
            </w:r>
          </w:p>
        </w:tc>
        <w:tc>
          <w:tcPr>
            <w:tcW w:w="5812" w:type="dxa"/>
          </w:tcPr>
          <w:p w14:paraId="302AD984" w14:textId="29AA31F4" w:rsidR="00EE68F2" w:rsidRPr="0026049D" w:rsidRDefault="00EE68F2" w:rsidP="00EE68F2">
            <w:pPr>
              <w:spacing w:after="160" w:line="259" w:lineRule="auto"/>
              <w:rPr>
                <w:rFonts w:ascii="Arial" w:hAnsi="Arial" w:cs="Arial"/>
              </w:rPr>
            </w:pPr>
            <w:r w:rsidRPr="0026049D">
              <w:rPr>
                <w:rFonts w:ascii="Arial" w:hAnsi="Arial" w:cs="Arial"/>
              </w:rPr>
              <w:t xml:space="preserve">Engaging and Involving Patient’s, Families and Staff </w:t>
            </w:r>
          </w:p>
        </w:tc>
        <w:tc>
          <w:tcPr>
            <w:tcW w:w="1224" w:type="dxa"/>
          </w:tcPr>
          <w:p w14:paraId="76E769AD" w14:textId="10FAC385" w:rsidR="00EE68F2" w:rsidRPr="008A74EA" w:rsidRDefault="008A74EA">
            <w:pPr>
              <w:rPr>
                <w:rFonts w:ascii="Arial" w:hAnsi="Arial" w:cs="Arial"/>
                <w:sz w:val="24"/>
                <w:szCs w:val="24"/>
              </w:rPr>
            </w:pPr>
            <w:r w:rsidRPr="008A74EA">
              <w:rPr>
                <w:rFonts w:ascii="Arial" w:hAnsi="Arial" w:cs="Arial"/>
                <w:sz w:val="24"/>
                <w:szCs w:val="24"/>
              </w:rPr>
              <w:t>1</w:t>
            </w:r>
            <w:r w:rsidR="00B52275">
              <w:rPr>
                <w:rFonts w:ascii="Arial" w:hAnsi="Arial" w:cs="Arial"/>
                <w:sz w:val="24"/>
                <w:szCs w:val="24"/>
              </w:rPr>
              <w:t>3</w:t>
            </w:r>
          </w:p>
        </w:tc>
      </w:tr>
      <w:tr w:rsidR="000E185D" w14:paraId="750AB2CB" w14:textId="77777777" w:rsidTr="008A74EA">
        <w:tc>
          <w:tcPr>
            <w:tcW w:w="1980" w:type="dxa"/>
          </w:tcPr>
          <w:p w14:paraId="5BBAE648" w14:textId="5EC30CB9" w:rsidR="000E185D" w:rsidRDefault="003B6F8A">
            <w:pPr>
              <w:rPr>
                <w:rFonts w:ascii="Arial" w:hAnsi="Arial" w:cs="Arial"/>
                <w:b/>
                <w:bCs/>
                <w:sz w:val="24"/>
                <w:szCs w:val="24"/>
              </w:rPr>
            </w:pPr>
            <w:r>
              <w:rPr>
                <w:rFonts w:ascii="Arial" w:hAnsi="Arial" w:cs="Arial"/>
                <w:b/>
                <w:bCs/>
                <w:sz w:val="24"/>
                <w:szCs w:val="24"/>
              </w:rPr>
              <w:t>14</w:t>
            </w:r>
          </w:p>
        </w:tc>
        <w:tc>
          <w:tcPr>
            <w:tcW w:w="5812" w:type="dxa"/>
          </w:tcPr>
          <w:p w14:paraId="15E5A984" w14:textId="77777777" w:rsidR="000E185D" w:rsidRDefault="000E185D" w:rsidP="00EE68F2">
            <w:pPr>
              <w:rPr>
                <w:rFonts w:ascii="Arial" w:hAnsi="Arial" w:cs="Arial"/>
              </w:rPr>
            </w:pPr>
            <w:r w:rsidRPr="0026049D">
              <w:rPr>
                <w:rFonts w:ascii="Arial" w:hAnsi="Arial" w:cs="Arial"/>
              </w:rPr>
              <w:t>Duty of Candour &amp; Notifiable Safety Incidents</w:t>
            </w:r>
          </w:p>
          <w:p w14:paraId="2C213D29" w14:textId="70210134" w:rsidR="0026049D" w:rsidRPr="0026049D" w:rsidRDefault="0026049D" w:rsidP="00EE68F2">
            <w:pPr>
              <w:rPr>
                <w:rFonts w:ascii="Arial" w:hAnsi="Arial" w:cs="Arial"/>
              </w:rPr>
            </w:pPr>
          </w:p>
        </w:tc>
        <w:tc>
          <w:tcPr>
            <w:tcW w:w="1224" w:type="dxa"/>
          </w:tcPr>
          <w:p w14:paraId="1234220B" w14:textId="2C7D81E6" w:rsidR="000E185D" w:rsidRPr="008A74EA" w:rsidRDefault="00B52275">
            <w:pPr>
              <w:rPr>
                <w:rFonts w:ascii="Arial" w:hAnsi="Arial" w:cs="Arial"/>
                <w:sz w:val="24"/>
                <w:szCs w:val="24"/>
              </w:rPr>
            </w:pPr>
            <w:r>
              <w:rPr>
                <w:rFonts w:ascii="Arial" w:hAnsi="Arial" w:cs="Arial"/>
                <w:sz w:val="24"/>
                <w:szCs w:val="24"/>
              </w:rPr>
              <w:t>13</w:t>
            </w:r>
          </w:p>
        </w:tc>
      </w:tr>
      <w:tr w:rsidR="0026049D" w14:paraId="12407731" w14:textId="77777777" w:rsidTr="008A74EA">
        <w:tc>
          <w:tcPr>
            <w:tcW w:w="1980" w:type="dxa"/>
          </w:tcPr>
          <w:p w14:paraId="07469C5E" w14:textId="1A8464FC" w:rsidR="0026049D" w:rsidRDefault="003B6F8A">
            <w:pPr>
              <w:rPr>
                <w:rFonts w:ascii="Arial" w:hAnsi="Arial" w:cs="Arial"/>
                <w:b/>
                <w:bCs/>
                <w:sz w:val="24"/>
                <w:szCs w:val="24"/>
              </w:rPr>
            </w:pPr>
            <w:r>
              <w:rPr>
                <w:rFonts w:ascii="Arial" w:hAnsi="Arial" w:cs="Arial"/>
                <w:b/>
                <w:bCs/>
                <w:sz w:val="24"/>
                <w:szCs w:val="24"/>
              </w:rPr>
              <w:t>15</w:t>
            </w:r>
          </w:p>
        </w:tc>
        <w:tc>
          <w:tcPr>
            <w:tcW w:w="5812" w:type="dxa"/>
          </w:tcPr>
          <w:p w14:paraId="6A88F8D3" w14:textId="77777777" w:rsidR="006F28FF" w:rsidRDefault="0026049D" w:rsidP="006F28FF">
            <w:pPr>
              <w:rPr>
                <w:rFonts w:ascii="Arial" w:hAnsi="Arial" w:cs="Arial"/>
              </w:rPr>
            </w:pPr>
            <w:r w:rsidRPr="0026049D">
              <w:rPr>
                <w:rFonts w:ascii="Arial" w:hAnsi="Arial" w:cs="Arial"/>
              </w:rPr>
              <w:t xml:space="preserve">Management and Identification of Trust Improvement Priorities </w:t>
            </w:r>
          </w:p>
          <w:p w14:paraId="3AE97B52" w14:textId="4DA5514F" w:rsidR="006F28FF" w:rsidRPr="0026049D" w:rsidRDefault="006F28FF" w:rsidP="006F28FF">
            <w:pPr>
              <w:rPr>
                <w:rFonts w:ascii="Arial" w:hAnsi="Arial" w:cs="Arial"/>
              </w:rPr>
            </w:pPr>
          </w:p>
        </w:tc>
        <w:tc>
          <w:tcPr>
            <w:tcW w:w="1224" w:type="dxa"/>
          </w:tcPr>
          <w:p w14:paraId="2A2CC2F8" w14:textId="575047E8" w:rsidR="0026049D" w:rsidRPr="008A74EA" w:rsidRDefault="008A74EA">
            <w:pPr>
              <w:rPr>
                <w:rFonts w:ascii="Arial" w:hAnsi="Arial" w:cs="Arial"/>
                <w:sz w:val="24"/>
                <w:szCs w:val="24"/>
              </w:rPr>
            </w:pPr>
            <w:r w:rsidRPr="008A74EA">
              <w:rPr>
                <w:rFonts w:ascii="Arial" w:hAnsi="Arial" w:cs="Arial"/>
                <w:sz w:val="24"/>
                <w:szCs w:val="24"/>
              </w:rPr>
              <w:t>1</w:t>
            </w:r>
            <w:r w:rsidR="00B52275">
              <w:rPr>
                <w:rFonts w:ascii="Arial" w:hAnsi="Arial" w:cs="Arial"/>
                <w:sz w:val="24"/>
                <w:szCs w:val="24"/>
              </w:rPr>
              <w:t>4</w:t>
            </w:r>
          </w:p>
        </w:tc>
      </w:tr>
      <w:tr w:rsidR="0026049D" w14:paraId="7835DF25" w14:textId="77777777" w:rsidTr="008A74EA">
        <w:tc>
          <w:tcPr>
            <w:tcW w:w="1980" w:type="dxa"/>
          </w:tcPr>
          <w:p w14:paraId="345A1DF1" w14:textId="5EBBA84A" w:rsidR="0026049D" w:rsidRDefault="003B6F8A">
            <w:pPr>
              <w:rPr>
                <w:rFonts w:ascii="Arial" w:hAnsi="Arial" w:cs="Arial"/>
                <w:b/>
                <w:bCs/>
                <w:sz w:val="24"/>
                <w:szCs w:val="24"/>
              </w:rPr>
            </w:pPr>
            <w:r>
              <w:rPr>
                <w:rFonts w:ascii="Arial" w:hAnsi="Arial" w:cs="Arial"/>
                <w:b/>
                <w:bCs/>
                <w:sz w:val="24"/>
                <w:szCs w:val="24"/>
              </w:rPr>
              <w:t>16</w:t>
            </w:r>
          </w:p>
        </w:tc>
        <w:tc>
          <w:tcPr>
            <w:tcW w:w="5812" w:type="dxa"/>
          </w:tcPr>
          <w:p w14:paraId="45BE9393" w14:textId="77777777" w:rsidR="0026049D" w:rsidRPr="0026049D" w:rsidRDefault="0026049D" w:rsidP="0026049D">
            <w:pPr>
              <w:rPr>
                <w:rFonts w:ascii="Arial" w:hAnsi="Arial" w:cs="Arial"/>
              </w:rPr>
            </w:pPr>
            <w:r w:rsidRPr="0026049D">
              <w:rPr>
                <w:rFonts w:ascii="Arial" w:hAnsi="Arial" w:cs="Arial"/>
              </w:rPr>
              <w:t xml:space="preserve">Cross-System Learning Responses </w:t>
            </w:r>
          </w:p>
          <w:p w14:paraId="003B717C" w14:textId="77777777" w:rsidR="0026049D" w:rsidRPr="0026049D" w:rsidRDefault="0026049D" w:rsidP="0026049D">
            <w:pPr>
              <w:rPr>
                <w:rFonts w:ascii="Arial" w:hAnsi="Arial" w:cs="Arial"/>
              </w:rPr>
            </w:pPr>
          </w:p>
        </w:tc>
        <w:tc>
          <w:tcPr>
            <w:tcW w:w="1224" w:type="dxa"/>
          </w:tcPr>
          <w:p w14:paraId="037D47BD" w14:textId="777042AD" w:rsidR="0026049D" w:rsidRPr="008A74EA" w:rsidRDefault="008A74EA">
            <w:pPr>
              <w:rPr>
                <w:rFonts w:ascii="Arial" w:hAnsi="Arial" w:cs="Arial"/>
                <w:sz w:val="24"/>
                <w:szCs w:val="24"/>
              </w:rPr>
            </w:pPr>
            <w:r w:rsidRPr="008A74EA">
              <w:rPr>
                <w:rFonts w:ascii="Arial" w:hAnsi="Arial" w:cs="Arial"/>
                <w:sz w:val="24"/>
                <w:szCs w:val="24"/>
              </w:rPr>
              <w:t>1</w:t>
            </w:r>
            <w:r w:rsidR="00BE3EC8">
              <w:rPr>
                <w:rFonts w:ascii="Arial" w:hAnsi="Arial" w:cs="Arial"/>
                <w:sz w:val="24"/>
                <w:szCs w:val="24"/>
              </w:rPr>
              <w:t>4</w:t>
            </w:r>
          </w:p>
        </w:tc>
      </w:tr>
      <w:tr w:rsidR="0020014F" w14:paraId="34057ED2" w14:textId="77777777" w:rsidTr="008A74EA">
        <w:tc>
          <w:tcPr>
            <w:tcW w:w="1980" w:type="dxa"/>
          </w:tcPr>
          <w:p w14:paraId="567E05DB" w14:textId="73FB9AB2" w:rsidR="0020014F" w:rsidRDefault="0020014F">
            <w:pPr>
              <w:rPr>
                <w:rFonts w:ascii="Arial" w:hAnsi="Arial" w:cs="Arial"/>
                <w:b/>
                <w:bCs/>
                <w:sz w:val="24"/>
                <w:szCs w:val="24"/>
              </w:rPr>
            </w:pPr>
            <w:r>
              <w:rPr>
                <w:rFonts w:ascii="Arial" w:hAnsi="Arial" w:cs="Arial"/>
                <w:b/>
                <w:bCs/>
                <w:sz w:val="24"/>
                <w:szCs w:val="24"/>
              </w:rPr>
              <w:t>17</w:t>
            </w:r>
          </w:p>
        </w:tc>
        <w:tc>
          <w:tcPr>
            <w:tcW w:w="5812" w:type="dxa"/>
          </w:tcPr>
          <w:p w14:paraId="66B33EA4" w14:textId="77777777" w:rsidR="0020014F" w:rsidRDefault="0020014F" w:rsidP="0026049D">
            <w:pPr>
              <w:rPr>
                <w:rFonts w:ascii="Arial" w:hAnsi="Arial" w:cs="Arial"/>
              </w:rPr>
            </w:pPr>
            <w:r>
              <w:rPr>
                <w:rFonts w:ascii="Arial" w:hAnsi="Arial" w:cs="Arial"/>
              </w:rPr>
              <w:t>Training</w:t>
            </w:r>
          </w:p>
          <w:p w14:paraId="3BB37B20" w14:textId="3B9E6A1F" w:rsidR="006F28FF" w:rsidRPr="0026049D" w:rsidRDefault="006F28FF" w:rsidP="0026049D">
            <w:pPr>
              <w:rPr>
                <w:rFonts w:ascii="Arial" w:hAnsi="Arial" w:cs="Arial"/>
              </w:rPr>
            </w:pPr>
          </w:p>
        </w:tc>
        <w:tc>
          <w:tcPr>
            <w:tcW w:w="1224" w:type="dxa"/>
          </w:tcPr>
          <w:p w14:paraId="6F8748EC" w14:textId="7D0FE623" w:rsidR="0020014F" w:rsidRPr="008A74EA" w:rsidRDefault="00BE3EC8">
            <w:pPr>
              <w:rPr>
                <w:rFonts w:ascii="Arial" w:hAnsi="Arial" w:cs="Arial"/>
                <w:sz w:val="24"/>
                <w:szCs w:val="24"/>
              </w:rPr>
            </w:pPr>
            <w:r>
              <w:rPr>
                <w:rFonts w:ascii="Arial" w:hAnsi="Arial" w:cs="Arial"/>
                <w:sz w:val="24"/>
                <w:szCs w:val="24"/>
              </w:rPr>
              <w:t>14</w:t>
            </w:r>
          </w:p>
        </w:tc>
      </w:tr>
    </w:tbl>
    <w:p w14:paraId="0E942B84" w14:textId="77777777" w:rsidR="002B23C4" w:rsidRDefault="002B23C4">
      <w:pPr>
        <w:rPr>
          <w:rFonts w:ascii="Arial" w:hAnsi="Arial" w:cs="Arial"/>
          <w:b/>
          <w:bCs/>
          <w:sz w:val="24"/>
          <w:szCs w:val="24"/>
        </w:rPr>
      </w:pPr>
    </w:p>
    <w:p w14:paraId="6E1AE64B" w14:textId="77777777" w:rsidR="000770CF" w:rsidRDefault="000770CF">
      <w:pPr>
        <w:rPr>
          <w:rFonts w:ascii="Arial" w:hAnsi="Arial" w:cs="Arial"/>
          <w:b/>
          <w:bCs/>
          <w:sz w:val="24"/>
          <w:szCs w:val="24"/>
        </w:rPr>
      </w:pPr>
    </w:p>
    <w:p w14:paraId="7012C422" w14:textId="77777777" w:rsidR="000770CF" w:rsidRDefault="000770CF">
      <w:pPr>
        <w:rPr>
          <w:rFonts w:ascii="Arial" w:hAnsi="Arial" w:cs="Arial"/>
          <w:b/>
          <w:bCs/>
          <w:sz w:val="24"/>
          <w:szCs w:val="24"/>
        </w:rPr>
      </w:pPr>
    </w:p>
    <w:p w14:paraId="3208BF8C" w14:textId="77777777" w:rsidR="000770CF" w:rsidRDefault="000770CF">
      <w:pPr>
        <w:rPr>
          <w:rFonts w:ascii="Arial" w:hAnsi="Arial" w:cs="Arial"/>
          <w:b/>
          <w:bCs/>
          <w:sz w:val="24"/>
          <w:szCs w:val="24"/>
        </w:rPr>
      </w:pPr>
    </w:p>
    <w:p w14:paraId="3B743812" w14:textId="77777777" w:rsidR="000770CF" w:rsidRDefault="000770CF">
      <w:pPr>
        <w:rPr>
          <w:rFonts w:ascii="Arial" w:hAnsi="Arial" w:cs="Arial"/>
          <w:b/>
          <w:bCs/>
          <w:sz w:val="24"/>
          <w:szCs w:val="24"/>
        </w:rPr>
      </w:pPr>
    </w:p>
    <w:p w14:paraId="395702C9" w14:textId="3C7B7D7F" w:rsidR="00346940" w:rsidRDefault="003B6F8A" w:rsidP="000770CF">
      <w:pPr>
        <w:jc w:val="both"/>
        <w:rPr>
          <w:rFonts w:ascii="Arial" w:hAnsi="Arial" w:cs="Arial"/>
          <w:b/>
          <w:bCs/>
          <w:sz w:val="24"/>
          <w:szCs w:val="24"/>
        </w:rPr>
      </w:pPr>
      <w:r w:rsidRPr="009F6A28">
        <w:rPr>
          <w:rFonts w:ascii="Arial" w:hAnsi="Arial" w:cs="Arial"/>
          <w:b/>
          <w:bCs/>
          <w:sz w:val="24"/>
          <w:szCs w:val="24"/>
        </w:rPr>
        <w:lastRenderedPageBreak/>
        <w:t xml:space="preserve">1. </w:t>
      </w:r>
      <w:r w:rsidR="00346940" w:rsidRPr="009F6A28">
        <w:rPr>
          <w:rFonts w:ascii="Arial" w:hAnsi="Arial" w:cs="Arial"/>
          <w:b/>
          <w:bCs/>
          <w:sz w:val="24"/>
          <w:szCs w:val="24"/>
        </w:rPr>
        <w:t>Introduction</w:t>
      </w:r>
    </w:p>
    <w:p w14:paraId="5CBB1AF2" w14:textId="412A4512" w:rsidR="00B851E8" w:rsidRPr="000770CF" w:rsidRDefault="00B851E8" w:rsidP="000770CF">
      <w:pPr>
        <w:jc w:val="both"/>
        <w:rPr>
          <w:rFonts w:ascii="Arial" w:hAnsi="Arial" w:cs="Arial"/>
        </w:rPr>
      </w:pPr>
      <w:r w:rsidRPr="000770CF">
        <w:rPr>
          <w:rFonts w:ascii="Arial" w:hAnsi="Arial" w:cs="Arial"/>
        </w:rPr>
        <w:t xml:space="preserve">The Patient Safety Incident Response Framework (PSIRF) represents a significant shift in the way the </w:t>
      </w:r>
      <w:r w:rsidR="000770CF">
        <w:rPr>
          <w:rFonts w:ascii="Arial" w:hAnsi="Arial" w:cs="Arial"/>
        </w:rPr>
        <w:t>NHS</w:t>
      </w:r>
      <w:r w:rsidRPr="000770CF">
        <w:rPr>
          <w:rFonts w:ascii="Arial" w:hAnsi="Arial" w:cs="Arial"/>
        </w:rPr>
        <w:t xml:space="preserve"> responds to patient safety incidents and is a major step towards establishing a safety management system across the NHS. It is a key part of the </w:t>
      </w:r>
      <w:hyperlink r:id="rId11" w:tgtFrame="_blank" w:history="1">
        <w:r w:rsidRPr="000770CF">
          <w:rPr>
            <w:rStyle w:val="Hyperlink"/>
            <w:rFonts w:ascii="Arial" w:hAnsi="Arial" w:cs="Arial"/>
          </w:rPr>
          <w:t>NHS patient safety strategy</w:t>
        </w:r>
      </w:hyperlink>
      <w:r w:rsidRPr="000770CF">
        <w:rPr>
          <w:rFonts w:ascii="Arial" w:hAnsi="Arial" w:cs="Arial"/>
        </w:rPr>
        <w:t>.  </w:t>
      </w:r>
    </w:p>
    <w:p w14:paraId="1105900E" w14:textId="77777777" w:rsidR="00B851E8" w:rsidRPr="000770CF" w:rsidRDefault="00B851E8" w:rsidP="000770CF">
      <w:pPr>
        <w:jc w:val="both"/>
        <w:rPr>
          <w:rFonts w:ascii="Arial" w:hAnsi="Arial" w:cs="Arial"/>
        </w:rPr>
      </w:pPr>
      <w:r w:rsidRPr="000770CF">
        <w:rPr>
          <w:rFonts w:ascii="Arial" w:hAnsi="Arial" w:cs="Arial"/>
        </w:rPr>
        <w:t>The PSIRF advocates a co-ordinated and data-driven response to patient safety incidents. It embeds patient safety incident response within a wider system of improvement and prompts a significant cultural shift towards systematic patient safety management.  </w:t>
      </w:r>
    </w:p>
    <w:p w14:paraId="6AD23955" w14:textId="6B1B344A" w:rsidR="007B639E" w:rsidRPr="000770CF" w:rsidRDefault="00612F4D" w:rsidP="000770CF">
      <w:pPr>
        <w:jc w:val="both"/>
        <w:rPr>
          <w:rFonts w:ascii="Arial" w:hAnsi="Arial" w:cs="Arial"/>
        </w:rPr>
      </w:pPr>
      <w:r w:rsidRPr="000770CF">
        <w:rPr>
          <w:rFonts w:ascii="Arial" w:hAnsi="Arial" w:cs="Arial"/>
        </w:rPr>
        <w:t>It promotes</w:t>
      </w:r>
      <w:r w:rsidR="007B639E" w:rsidRPr="000770CF">
        <w:rPr>
          <w:rFonts w:ascii="Arial" w:hAnsi="Arial" w:cs="Arial"/>
        </w:rPr>
        <w:t xml:space="preserve"> systematic, compassionate, and proportionate responses to patient safety incidents, anchored in the principles of openness, fair accountability, learning and continuous improvement – and with the aim of learning how to reduce risk and associated harm. </w:t>
      </w:r>
      <w:r w:rsidR="000770CF">
        <w:rPr>
          <w:rFonts w:ascii="Arial" w:hAnsi="Arial" w:cs="Arial"/>
        </w:rPr>
        <w:t xml:space="preserve">In our responses to incidents, we </w:t>
      </w:r>
      <w:r w:rsidR="00BE3EC8">
        <w:rPr>
          <w:rFonts w:ascii="Arial" w:hAnsi="Arial" w:cs="Arial"/>
        </w:rPr>
        <w:t xml:space="preserve">will </w:t>
      </w:r>
      <w:r w:rsidR="00BE3EC8" w:rsidRPr="000770CF">
        <w:rPr>
          <w:rFonts w:ascii="Arial" w:hAnsi="Arial" w:cs="Arial"/>
        </w:rPr>
        <w:t>include</w:t>
      </w:r>
      <w:r w:rsidR="007B639E" w:rsidRPr="000770CF">
        <w:rPr>
          <w:rFonts w:ascii="Arial" w:hAnsi="Arial" w:cs="Arial"/>
        </w:rPr>
        <w:t xml:space="preserve"> discussion and active engagement with patients, families, and healthcare staff to seek their input and develop a shared understanding of what happened. </w:t>
      </w:r>
    </w:p>
    <w:p w14:paraId="209264E9" w14:textId="43326F46" w:rsidR="00745C34" w:rsidRPr="00745C34" w:rsidRDefault="00745C34" w:rsidP="00217CEC">
      <w:pPr>
        <w:jc w:val="both"/>
        <w:rPr>
          <w:rFonts w:ascii="Arial" w:hAnsi="Arial" w:cs="Arial"/>
        </w:rPr>
      </w:pPr>
      <w:r w:rsidRPr="00745C34">
        <w:rPr>
          <w:rFonts w:ascii="Arial" w:hAnsi="Arial" w:cs="Arial"/>
        </w:rPr>
        <w:t>This Patient Safety Incident Response Plan (PSIRP)</w:t>
      </w:r>
      <w:r w:rsidR="00D54D64">
        <w:rPr>
          <w:rFonts w:ascii="Arial" w:hAnsi="Arial" w:cs="Arial"/>
        </w:rPr>
        <w:t>, is part of the PSIRF and</w:t>
      </w:r>
      <w:r w:rsidRPr="00745C34">
        <w:rPr>
          <w:rFonts w:ascii="Arial" w:hAnsi="Arial" w:cs="Arial"/>
        </w:rPr>
        <w:t xml:space="preserve"> sets out how The Newcastle upon Tyne Hospitals NHS Foundation Trust intends to respond to patient safety incidents over the </w:t>
      </w:r>
      <w:r w:rsidR="00A47881">
        <w:rPr>
          <w:rFonts w:ascii="Arial" w:hAnsi="Arial" w:cs="Arial"/>
        </w:rPr>
        <w:t>coming</w:t>
      </w:r>
      <w:r w:rsidR="00A47881" w:rsidRPr="00745C34">
        <w:rPr>
          <w:rFonts w:ascii="Arial" w:hAnsi="Arial" w:cs="Arial"/>
        </w:rPr>
        <w:t xml:space="preserve"> </w:t>
      </w:r>
      <w:r w:rsidRPr="00745C34">
        <w:rPr>
          <w:rFonts w:ascii="Arial" w:hAnsi="Arial" w:cs="Arial"/>
        </w:rPr>
        <w:t>18 months.</w:t>
      </w:r>
    </w:p>
    <w:p w14:paraId="4DD961F7" w14:textId="2D52DD77" w:rsidR="006B4423" w:rsidRDefault="00745C34" w:rsidP="00217CEC">
      <w:pPr>
        <w:jc w:val="both"/>
        <w:rPr>
          <w:rFonts w:ascii="Arial" w:hAnsi="Arial" w:cs="Arial"/>
        </w:rPr>
      </w:pPr>
      <w:r w:rsidRPr="00745C34">
        <w:rPr>
          <w:rFonts w:ascii="Arial" w:hAnsi="Arial" w:cs="Arial"/>
        </w:rPr>
        <w:t xml:space="preserve">We will remain flexible and consider the specific circumstances in which patient safety issues and incidents occurred and the needs of those affected. There are many ways we can respond to an incident. This document covers responses conducted solely for the purpose of system learning and improvement and there is no remit to apportion blame or determine liability, preventability or cause of death. </w:t>
      </w:r>
    </w:p>
    <w:p w14:paraId="2B35FCFD" w14:textId="3A77DA2F" w:rsidR="00745C34" w:rsidRPr="00745C34" w:rsidRDefault="00745C34" w:rsidP="00217CEC">
      <w:pPr>
        <w:jc w:val="both"/>
        <w:rPr>
          <w:rFonts w:ascii="Arial" w:hAnsi="Arial" w:cs="Arial"/>
        </w:rPr>
      </w:pPr>
      <w:r w:rsidRPr="00745C34">
        <w:rPr>
          <w:rFonts w:ascii="Arial" w:hAnsi="Arial" w:cs="Arial"/>
        </w:rPr>
        <w:t xml:space="preserve">Other types of response exist to deal with specific issues or concerns. Examples of such responses include complaints management, claims handling, human resources investigations into employment concerns, professional standards investigations, coroner’s inquests or criminal investigations. The principle aims of each of these responses differ from the aims of a patient safety response and are outside the scope of this Plan. </w:t>
      </w:r>
    </w:p>
    <w:p w14:paraId="51372E2E" w14:textId="77777777" w:rsidR="00745C34" w:rsidRDefault="00745C34" w:rsidP="00217CEC">
      <w:pPr>
        <w:jc w:val="both"/>
        <w:rPr>
          <w:rFonts w:ascii="Arial" w:hAnsi="Arial" w:cs="Arial"/>
        </w:rPr>
      </w:pPr>
      <w:r w:rsidRPr="00745C34">
        <w:rPr>
          <w:rFonts w:ascii="Arial" w:hAnsi="Arial" w:cs="Arial"/>
        </w:rPr>
        <w:t>Some incidents in healthcare require a specific type of response as set out in policies or regulations. These responses include mandatory Patient Safety Incident Investigation (PSII) in some circumstances or review by, or referral to, another body or team, depending on the nature of the incident.</w:t>
      </w:r>
    </w:p>
    <w:p w14:paraId="5B855608" w14:textId="5D6359C3" w:rsidR="002B23C4" w:rsidRPr="002B23C4" w:rsidRDefault="003B6F8A" w:rsidP="002B23C4">
      <w:pPr>
        <w:rPr>
          <w:rFonts w:ascii="Arial" w:hAnsi="Arial" w:cs="Arial"/>
          <w:b/>
          <w:bCs/>
          <w:sz w:val="24"/>
          <w:szCs w:val="24"/>
        </w:rPr>
      </w:pPr>
      <w:r>
        <w:rPr>
          <w:rFonts w:ascii="Arial" w:hAnsi="Arial" w:cs="Arial"/>
          <w:b/>
          <w:bCs/>
          <w:sz w:val="24"/>
          <w:szCs w:val="24"/>
        </w:rPr>
        <w:t xml:space="preserve">2. </w:t>
      </w:r>
      <w:r w:rsidR="002B23C4" w:rsidRPr="002B23C4">
        <w:rPr>
          <w:rFonts w:ascii="Arial" w:hAnsi="Arial" w:cs="Arial"/>
          <w:b/>
          <w:bCs/>
          <w:sz w:val="24"/>
          <w:szCs w:val="24"/>
        </w:rPr>
        <w:t xml:space="preserve">Our services </w:t>
      </w:r>
    </w:p>
    <w:p w14:paraId="49B6E15B" w14:textId="61D995FE" w:rsidR="006E1DD8" w:rsidRDefault="006E1DD8" w:rsidP="002B23C4">
      <w:pPr>
        <w:rPr>
          <w:rFonts w:ascii="Arial" w:hAnsi="Arial" w:cs="Arial"/>
        </w:rPr>
      </w:pPr>
      <w:r>
        <w:rPr>
          <w:rFonts w:ascii="Arial" w:hAnsi="Arial" w:cs="Arial"/>
        </w:rPr>
        <w:t xml:space="preserve">The Newcastle upon Tyne </w:t>
      </w:r>
      <w:r w:rsidR="006B4423">
        <w:rPr>
          <w:rFonts w:ascii="Arial" w:hAnsi="Arial" w:cs="Arial"/>
        </w:rPr>
        <w:t xml:space="preserve">Hospitals </w:t>
      </w:r>
      <w:r>
        <w:rPr>
          <w:rFonts w:ascii="Arial" w:hAnsi="Arial" w:cs="Arial"/>
        </w:rPr>
        <w:t>NHS Foundation Trust is registered with the CQC to provide regulated activity at the following locations:</w:t>
      </w:r>
    </w:p>
    <w:p w14:paraId="499EDAD8" w14:textId="77777777" w:rsidR="006E1DD8" w:rsidRPr="006E1DD8" w:rsidRDefault="006E1DD8" w:rsidP="006E1DD8">
      <w:pPr>
        <w:pStyle w:val="ListParagraph"/>
        <w:numPr>
          <w:ilvl w:val="0"/>
          <w:numId w:val="9"/>
        </w:numPr>
        <w:spacing w:after="0" w:line="360" w:lineRule="auto"/>
        <w:rPr>
          <w:rFonts w:eastAsia="Times New Roman"/>
          <w:sz w:val="22"/>
          <w:lang w:eastAsia="en-GB"/>
        </w:rPr>
      </w:pPr>
      <w:r w:rsidRPr="006E1DD8">
        <w:rPr>
          <w:rFonts w:eastAsia="Times New Roman"/>
          <w:color w:val="000000"/>
          <w:sz w:val="22"/>
          <w:lang w:eastAsia="en-GB"/>
        </w:rPr>
        <w:t>Campus for Ageing and Vitality</w:t>
      </w:r>
    </w:p>
    <w:p w14:paraId="69E61509" w14:textId="77777777" w:rsidR="006E1DD8" w:rsidRPr="006E1DD8" w:rsidRDefault="006E1DD8" w:rsidP="006E1DD8">
      <w:pPr>
        <w:pStyle w:val="ListParagraph"/>
        <w:numPr>
          <w:ilvl w:val="0"/>
          <w:numId w:val="9"/>
        </w:numPr>
        <w:spacing w:after="0" w:line="360" w:lineRule="auto"/>
        <w:rPr>
          <w:rFonts w:eastAsia="Times New Roman"/>
          <w:sz w:val="22"/>
          <w:lang w:eastAsia="en-GB"/>
        </w:rPr>
      </w:pPr>
      <w:r w:rsidRPr="006E1DD8">
        <w:rPr>
          <w:rFonts w:eastAsia="Times New Roman"/>
          <w:color w:val="000000"/>
          <w:sz w:val="22"/>
          <w:lang w:eastAsia="en-GB"/>
        </w:rPr>
        <w:t>Dental Hospital</w:t>
      </w:r>
    </w:p>
    <w:p w14:paraId="5455AA83" w14:textId="77777777" w:rsidR="006E1DD8" w:rsidRPr="006E1DD8" w:rsidRDefault="006E1DD8" w:rsidP="006E1DD8">
      <w:pPr>
        <w:pStyle w:val="ListParagraph"/>
        <w:numPr>
          <w:ilvl w:val="0"/>
          <w:numId w:val="9"/>
        </w:numPr>
        <w:spacing w:after="0" w:line="360" w:lineRule="auto"/>
        <w:rPr>
          <w:rFonts w:eastAsia="Times New Roman"/>
          <w:sz w:val="22"/>
          <w:lang w:eastAsia="en-GB"/>
        </w:rPr>
      </w:pPr>
      <w:r w:rsidRPr="006E1DD8">
        <w:rPr>
          <w:rFonts w:eastAsia="Times New Roman"/>
          <w:color w:val="000000"/>
          <w:sz w:val="22"/>
          <w:lang w:eastAsia="en-GB"/>
        </w:rPr>
        <w:t>Freeman Hospital</w:t>
      </w:r>
    </w:p>
    <w:p w14:paraId="6CF344A4" w14:textId="77777777" w:rsidR="006E1DD8" w:rsidRPr="006E1DD8" w:rsidRDefault="006E1DD8" w:rsidP="006E1DD8">
      <w:pPr>
        <w:pStyle w:val="ListParagraph"/>
        <w:numPr>
          <w:ilvl w:val="0"/>
          <w:numId w:val="9"/>
        </w:numPr>
        <w:spacing w:after="0" w:line="360" w:lineRule="auto"/>
        <w:rPr>
          <w:rFonts w:eastAsia="Times New Roman"/>
          <w:sz w:val="22"/>
          <w:lang w:eastAsia="en-GB"/>
        </w:rPr>
      </w:pPr>
      <w:r w:rsidRPr="006E1DD8">
        <w:rPr>
          <w:rFonts w:eastAsia="Times New Roman"/>
          <w:color w:val="000000"/>
          <w:sz w:val="22"/>
          <w:lang w:eastAsia="en-GB"/>
        </w:rPr>
        <w:t>International Centre for Life</w:t>
      </w:r>
    </w:p>
    <w:p w14:paraId="674D6350" w14:textId="77777777" w:rsidR="006E1DD8" w:rsidRPr="006E1DD8" w:rsidRDefault="006E1DD8" w:rsidP="006E1DD8">
      <w:pPr>
        <w:pStyle w:val="ListParagraph"/>
        <w:numPr>
          <w:ilvl w:val="0"/>
          <w:numId w:val="9"/>
        </w:numPr>
        <w:spacing w:after="0" w:line="360" w:lineRule="auto"/>
        <w:rPr>
          <w:rFonts w:eastAsia="Times New Roman"/>
          <w:sz w:val="22"/>
          <w:lang w:eastAsia="en-GB"/>
        </w:rPr>
      </w:pPr>
      <w:r w:rsidRPr="006E1DD8">
        <w:rPr>
          <w:rFonts w:eastAsia="Times New Roman"/>
          <w:color w:val="000000"/>
          <w:sz w:val="22"/>
          <w:lang w:eastAsia="en-GB"/>
        </w:rPr>
        <w:t>Northern Centre for Cancer Care- North Cumbria</w:t>
      </w:r>
    </w:p>
    <w:p w14:paraId="226D8D3E" w14:textId="77777777" w:rsidR="006E1DD8" w:rsidRPr="006E1DD8" w:rsidRDefault="006E1DD8" w:rsidP="006E1DD8">
      <w:pPr>
        <w:pStyle w:val="ListParagraph"/>
        <w:numPr>
          <w:ilvl w:val="0"/>
          <w:numId w:val="9"/>
        </w:numPr>
        <w:spacing w:after="0" w:line="360" w:lineRule="auto"/>
        <w:rPr>
          <w:rFonts w:eastAsia="Times New Roman"/>
          <w:sz w:val="22"/>
          <w:lang w:eastAsia="en-GB"/>
        </w:rPr>
      </w:pPr>
      <w:r w:rsidRPr="006E1DD8">
        <w:rPr>
          <w:rFonts w:eastAsia="Times New Roman"/>
          <w:color w:val="000000"/>
          <w:sz w:val="22"/>
          <w:lang w:eastAsia="en-GB"/>
        </w:rPr>
        <w:t>Royal Victoria Infirmary</w:t>
      </w:r>
    </w:p>
    <w:p w14:paraId="3FCDCAFA" w14:textId="26202E8A" w:rsidR="006E1DD8" w:rsidRPr="00173320" w:rsidRDefault="006E1DD8" w:rsidP="002B23C4">
      <w:pPr>
        <w:pStyle w:val="ListParagraph"/>
        <w:numPr>
          <w:ilvl w:val="0"/>
          <w:numId w:val="9"/>
        </w:numPr>
        <w:spacing w:after="0" w:line="360" w:lineRule="auto"/>
        <w:rPr>
          <w:rFonts w:eastAsia="Times New Roman"/>
          <w:sz w:val="22"/>
          <w:lang w:eastAsia="en-GB"/>
        </w:rPr>
      </w:pPr>
      <w:r w:rsidRPr="006E1DD8">
        <w:rPr>
          <w:rFonts w:eastAsia="Times New Roman"/>
          <w:color w:val="000000"/>
          <w:sz w:val="22"/>
          <w:lang w:eastAsia="en-GB"/>
        </w:rPr>
        <w:t>West Cumberland Hospital</w:t>
      </w:r>
    </w:p>
    <w:p w14:paraId="7BD88EAE" w14:textId="77777777" w:rsidR="00173320" w:rsidRPr="00173320" w:rsidRDefault="00173320" w:rsidP="00173320">
      <w:pPr>
        <w:spacing w:after="0" w:line="360" w:lineRule="auto"/>
        <w:rPr>
          <w:rFonts w:eastAsia="Times New Roman"/>
          <w:lang w:eastAsia="en-GB"/>
        </w:rPr>
      </w:pPr>
    </w:p>
    <w:p w14:paraId="5B88FA18" w14:textId="00AD2B32" w:rsidR="006E1DD8" w:rsidRPr="006E1DD8" w:rsidRDefault="006E1DD8" w:rsidP="00217CEC">
      <w:pPr>
        <w:jc w:val="both"/>
        <w:rPr>
          <w:rFonts w:ascii="Arial" w:hAnsi="Arial" w:cs="Arial"/>
        </w:rPr>
      </w:pPr>
      <w:r w:rsidRPr="006E1DD8">
        <w:rPr>
          <w:rFonts w:ascii="Arial" w:hAnsi="Arial" w:cs="Arial"/>
        </w:rPr>
        <w:t xml:space="preserve">Newcastle Hospitals </w:t>
      </w:r>
      <w:r w:rsidR="006B4423">
        <w:rPr>
          <w:rFonts w:ascii="Arial" w:hAnsi="Arial" w:cs="Arial"/>
        </w:rPr>
        <w:t>has</w:t>
      </w:r>
      <w:r w:rsidRPr="006E1DD8">
        <w:rPr>
          <w:rFonts w:ascii="Arial" w:hAnsi="Arial" w:cs="Arial"/>
        </w:rPr>
        <w:t xml:space="preserve"> over 1,400 beds, around 16,000 staff, and an annual income of </w:t>
      </w:r>
      <w:r w:rsidR="006B4423">
        <w:rPr>
          <w:rFonts w:ascii="Arial" w:hAnsi="Arial" w:cs="Arial"/>
        </w:rPr>
        <w:t>£1.6</w:t>
      </w:r>
      <w:r w:rsidRPr="006E1DD8">
        <w:rPr>
          <w:rFonts w:ascii="Arial" w:hAnsi="Arial" w:cs="Arial"/>
        </w:rPr>
        <w:t xml:space="preserve"> billion</w:t>
      </w:r>
      <w:r w:rsidR="006B4423">
        <w:rPr>
          <w:rFonts w:ascii="Arial" w:hAnsi="Arial" w:cs="Arial"/>
        </w:rPr>
        <w:t xml:space="preserve">, and </w:t>
      </w:r>
      <w:r w:rsidRPr="006E1DD8">
        <w:rPr>
          <w:rFonts w:ascii="Arial" w:hAnsi="Arial" w:cs="Arial"/>
        </w:rPr>
        <w:t xml:space="preserve">offers a wide range of specialist as well as community services. The trust has a strong reputation for research and innovation and hosts the region’s clinical research network and a biomedical research centre. The Trust has been working with the Institute for Healthcare Improvement (IHI) for the last two years to develop a culture of improvement and has been building capability and capacity in this regard. </w:t>
      </w:r>
    </w:p>
    <w:p w14:paraId="30EF52A5" w14:textId="3BF88F58" w:rsidR="006E1DD8" w:rsidRPr="006E1DD8" w:rsidRDefault="006E1DD8" w:rsidP="00217CEC">
      <w:pPr>
        <w:jc w:val="both"/>
        <w:rPr>
          <w:rFonts w:ascii="Arial" w:hAnsi="Arial" w:cs="Arial"/>
        </w:rPr>
      </w:pPr>
      <w:r w:rsidRPr="006E1DD8">
        <w:rPr>
          <w:rFonts w:ascii="Arial" w:hAnsi="Arial" w:cs="Arial"/>
        </w:rPr>
        <w:t xml:space="preserve">During the PSIRP drafting process we have faced a number of organisational challenges including implementing a new organisational structure, creating eight operational </w:t>
      </w:r>
      <w:r w:rsidR="00A009BE">
        <w:rPr>
          <w:rFonts w:ascii="Arial" w:hAnsi="Arial" w:cs="Arial"/>
        </w:rPr>
        <w:t xml:space="preserve">Clinical </w:t>
      </w:r>
      <w:r w:rsidRPr="006E1DD8">
        <w:rPr>
          <w:rFonts w:ascii="Arial" w:hAnsi="Arial" w:cs="Arial"/>
        </w:rPr>
        <w:t xml:space="preserve">Boards in place of eighteen Directorates. At the time of </w:t>
      </w:r>
      <w:r w:rsidR="00C711C9">
        <w:rPr>
          <w:rFonts w:ascii="Arial" w:hAnsi="Arial" w:cs="Arial"/>
        </w:rPr>
        <w:t>completing</w:t>
      </w:r>
      <w:r w:rsidRPr="006E1DD8">
        <w:rPr>
          <w:rFonts w:ascii="Arial" w:hAnsi="Arial" w:cs="Arial"/>
        </w:rPr>
        <w:t xml:space="preserve"> the PSIRP, </w:t>
      </w:r>
      <w:r w:rsidR="00C711C9" w:rsidRPr="00C711C9">
        <w:rPr>
          <w:rFonts w:ascii="Arial" w:hAnsi="Arial" w:cs="Arial"/>
        </w:rPr>
        <w:t>Clinical Boards are embedding their governance processes</w:t>
      </w:r>
      <w:r w:rsidR="00C711C9">
        <w:rPr>
          <w:rFonts w:ascii="Arial" w:hAnsi="Arial" w:cs="Arial"/>
        </w:rPr>
        <w:t xml:space="preserve"> which provides an opportunity for standardisation</w:t>
      </w:r>
      <w:r w:rsidRPr="006E1DD8">
        <w:rPr>
          <w:rFonts w:ascii="Arial" w:hAnsi="Arial" w:cs="Arial"/>
        </w:rPr>
        <w:t xml:space="preserve">. </w:t>
      </w:r>
    </w:p>
    <w:p w14:paraId="7DC31E7F" w14:textId="77777777" w:rsidR="0026049D" w:rsidRDefault="0026049D" w:rsidP="002B23C4">
      <w:pPr>
        <w:rPr>
          <w:rFonts w:ascii="Arial" w:hAnsi="Arial" w:cs="Arial"/>
        </w:rPr>
      </w:pPr>
    </w:p>
    <w:p w14:paraId="07E11C50" w14:textId="6861C40B" w:rsidR="00BD08AF" w:rsidRDefault="003B6F8A" w:rsidP="00BD08AF">
      <w:pPr>
        <w:rPr>
          <w:rFonts w:ascii="Arial" w:hAnsi="Arial" w:cs="Arial"/>
          <w:b/>
          <w:bCs/>
          <w:sz w:val="24"/>
          <w:szCs w:val="24"/>
        </w:rPr>
      </w:pPr>
      <w:r w:rsidRPr="009F6A28">
        <w:rPr>
          <w:rFonts w:ascii="Arial" w:hAnsi="Arial" w:cs="Arial"/>
          <w:b/>
          <w:bCs/>
          <w:sz w:val="24"/>
          <w:szCs w:val="24"/>
        </w:rPr>
        <w:t xml:space="preserve">3. </w:t>
      </w:r>
      <w:r w:rsidR="00BD08AF" w:rsidRPr="009F6A28">
        <w:rPr>
          <w:rFonts w:ascii="Arial" w:hAnsi="Arial" w:cs="Arial"/>
          <w:b/>
          <w:bCs/>
          <w:sz w:val="24"/>
          <w:szCs w:val="24"/>
        </w:rPr>
        <w:t xml:space="preserve">Definitions </w:t>
      </w:r>
    </w:p>
    <w:p w14:paraId="6207E860" w14:textId="77777777" w:rsidR="00BD08AF" w:rsidRDefault="00BD08AF" w:rsidP="00217CEC">
      <w:pPr>
        <w:jc w:val="both"/>
        <w:rPr>
          <w:rFonts w:ascii="Arial" w:hAnsi="Arial" w:cs="Arial"/>
        </w:rPr>
      </w:pPr>
      <w:r w:rsidRPr="00BD08AF">
        <w:rPr>
          <w:rFonts w:ascii="Arial" w:hAnsi="Arial" w:cs="Arial"/>
          <w:b/>
          <w:bCs/>
        </w:rPr>
        <w:t>Patient Safety Incident</w:t>
      </w:r>
      <w:r w:rsidRPr="00BD08AF">
        <w:rPr>
          <w:rFonts w:ascii="Arial" w:hAnsi="Arial" w:cs="Arial"/>
        </w:rPr>
        <w:t xml:space="preserve">: any unintended or unexpected incident which could have, or did, lead to harm for one or more patients receiving healthcare. </w:t>
      </w:r>
    </w:p>
    <w:p w14:paraId="5647ACEE" w14:textId="281B25B8" w:rsidR="00A0609A" w:rsidRPr="00A0609A" w:rsidRDefault="00A0609A" w:rsidP="00A0609A">
      <w:pPr>
        <w:rPr>
          <w:rFonts w:ascii="Arial" w:hAnsi="Arial" w:cs="Arial"/>
        </w:rPr>
      </w:pPr>
      <w:r w:rsidRPr="00A0609A">
        <w:rPr>
          <w:rFonts w:ascii="Arial" w:hAnsi="Arial" w:cs="Arial"/>
          <w:b/>
          <w:bCs/>
        </w:rPr>
        <w:t>Serious Incidents:</w:t>
      </w:r>
      <w:r w:rsidRPr="00A0609A">
        <w:rPr>
          <w:rFonts w:ascii="Arial" w:hAnsi="Arial" w:cs="Arial"/>
        </w:rPr>
        <w:t xml:space="preserve">  adverse events, where the consequences to patients, families and carers, staff or organisations are so significant or the potential for learning is so great, that a heightened level of response is justified</w:t>
      </w:r>
    </w:p>
    <w:p w14:paraId="646A975F" w14:textId="77777777" w:rsidR="00BD08AF" w:rsidRPr="00BD08AF" w:rsidRDefault="00BD08AF" w:rsidP="00217CEC">
      <w:pPr>
        <w:jc w:val="both"/>
        <w:rPr>
          <w:rFonts w:ascii="Arial" w:hAnsi="Arial" w:cs="Arial"/>
        </w:rPr>
      </w:pPr>
      <w:r w:rsidRPr="00BD08AF">
        <w:rPr>
          <w:rFonts w:ascii="Arial" w:hAnsi="Arial" w:cs="Arial"/>
          <w:b/>
          <w:bCs/>
        </w:rPr>
        <w:t>Trust Priority Incident</w:t>
      </w:r>
      <w:r w:rsidRPr="00BD08AF">
        <w:rPr>
          <w:rFonts w:ascii="Arial" w:hAnsi="Arial" w:cs="Arial"/>
        </w:rPr>
        <w:t xml:space="preserve">: are patient safety incidents that are aligned to our improvement priorities and which have a robust improvement plan monitored and tracked by a trust wide quality committee, Clinical Group or Board. </w:t>
      </w:r>
    </w:p>
    <w:p w14:paraId="683DF1F3" w14:textId="77777777" w:rsidR="00BD08AF" w:rsidRPr="00BD08AF" w:rsidRDefault="00BD08AF" w:rsidP="00217CEC">
      <w:pPr>
        <w:jc w:val="both"/>
        <w:rPr>
          <w:rFonts w:ascii="Arial" w:hAnsi="Arial" w:cs="Arial"/>
        </w:rPr>
      </w:pPr>
      <w:r w:rsidRPr="00BD08AF">
        <w:rPr>
          <w:rFonts w:ascii="Arial" w:hAnsi="Arial" w:cs="Arial"/>
          <w:b/>
          <w:bCs/>
        </w:rPr>
        <w:t>National and Regulatory Incident</w:t>
      </w:r>
      <w:r w:rsidRPr="00BD08AF">
        <w:rPr>
          <w:rFonts w:ascii="Arial" w:hAnsi="Arial" w:cs="Arial"/>
        </w:rPr>
        <w:t xml:space="preserve">: are patient safety incidents that require a specific type of response as set out in national policies or regulations. These responses will include an internal trust patient safety incident investigation (PSII) or review by or referral to another body or team, depending on the nature of the incident. </w:t>
      </w:r>
    </w:p>
    <w:p w14:paraId="2B77DA56" w14:textId="55075F78" w:rsidR="00BD08AF" w:rsidRPr="00BD08AF" w:rsidRDefault="00BD08AF" w:rsidP="00217CEC">
      <w:pPr>
        <w:jc w:val="both"/>
        <w:rPr>
          <w:rFonts w:ascii="Arial" w:hAnsi="Arial" w:cs="Arial"/>
        </w:rPr>
      </w:pPr>
      <w:r w:rsidRPr="00BD08AF">
        <w:rPr>
          <w:rFonts w:ascii="Arial" w:hAnsi="Arial" w:cs="Arial"/>
          <w:b/>
          <w:bCs/>
        </w:rPr>
        <w:t>Never Event</w:t>
      </w:r>
      <w:r w:rsidRPr="00BD08AF">
        <w:rPr>
          <w:rFonts w:ascii="Arial" w:hAnsi="Arial" w:cs="Arial"/>
        </w:rPr>
        <w:t xml:space="preserve">: are incidents that are wholly preventable because guidance or safety recommendations that provide strong systemic protective barriers are available at a national level and should have been implemented by all healthcare providers. Full details of each </w:t>
      </w:r>
      <w:r w:rsidR="006B4423">
        <w:rPr>
          <w:rFonts w:ascii="Arial" w:hAnsi="Arial" w:cs="Arial"/>
        </w:rPr>
        <w:t>n</w:t>
      </w:r>
      <w:r w:rsidR="006B4423" w:rsidRPr="00BD08AF">
        <w:rPr>
          <w:rFonts w:ascii="Arial" w:hAnsi="Arial" w:cs="Arial"/>
        </w:rPr>
        <w:t xml:space="preserve">ever </w:t>
      </w:r>
      <w:r w:rsidR="006B4423">
        <w:rPr>
          <w:rFonts w:ascii="Arial" w:hAnsi="Arial" w:cs="Arial"/>
        </w:rPr>
        <w:t>e</w:t>
      </w:r>
      <w:r w:rsidR="006B4423" w:rsidRPr="00BD08AF">
        <w:rPr>
          <w:rFonts w:ascii="Arial" w:hAnsi="Arial" w:cs="Arial"/>
        </w:rPr>
        <w:t xml:space="preserve">vent </w:t>
      </w:r>
      <w:r w:rsidRPr="00BD08AF">
        <w:rPr>
          <w:rFonts w:ascii="Arial" w:hAnsi="Arial" w:cs="Arial"/>
        </w:rPr>
        <w:t xml:space="preserve">can be accessed via NHS England </w:t>
      </w:r>
      <w:r w:rsidR="006B4423">
        <w:rPr>
          <w:rFonts w:ascii="Arial" w:hAnsi="Arial" w:cs="Arial"/>
        </w:rPr>
        <w:t>w</w:t>
      </w:r>
      <w:r w:rsidR="006B4423" w:rsidRPr="00BD08AF">
        <w:rPr>
          <w:rFonts w:ascii="Arial" w:hAnsi="Arial" w:cs="Arial"/>
        </w:rPr>
        <w:t>ebsite</w:t>
      </w:r>
      <w:r w:rsidRPr="00BD08AF">
        <w:rPr>
          <w:rFonts w:ascii="Arial" w:hAnsi="Arial" w:cs="Arial"/>
        </w:rPr>
        <w:t>.</w:t>
      </w:r>
    </w:p>
    <w:p w14:paraId="2FFFCDAA" w14:textId="16E672CF" w:rsidR="00BD08AF" w:rsidRPr="00BD08AF" w:rsidRDefault="00BD08AF" w:rsidP="00217CEC">
      <w:pPr>
        <w:jc w:val="both"/>
        <w:rPr>
          <w:rFonts w:ascii="Arial" w:hAnsi="Arial" w:cs="Arial"/>
        </w:rPr>
      </w:pPr>
      <w:r w:rsidRPr="00BD08AF">
        <w:rPr>
          <w:rFonts w:ascii="Arial" w:hAnsi="Arial" w:cs="Arial"/>
          <w:b/>
          <w:bCs/>
        </w:rPr>
        <w:t>Patient Safety Incident Investigation (PSII)</w:t>
      </w:r>
      <w:r w:rsidRPr="00BD08AF">
        <w:rPr>
          <w:rFonts w:ascii="Arial" w:hAnsi="Arial" w:cs="Arial"/>
        </w:rPr>
        <w:t xml:space="preserve">: an in-depth investigation undertaken when an incident or near-miss indicates significant patient safety risks and potential for new learning. A PSII investigation uses the Systems Engineering Initiative for Patient Safety (SEIPS) framework to understand interactions within complex systems and which can be applied to support the analysis of incidents and safety issues more broadly. Investigations explore decisions or actions as they relate to the situation. The method is based on the premise that actions or decisions are consequences, not causes, and is guided by the principle that people are well intentioned and strive to do the best they can. The goal is to understand why an action and/or decision was deemed appropriate by those involved at the time. </w:t>
      </w:r>
    </w:p>
    <w:p w14:paraId="0381C3FC" w14:textId="5E2EF524" w:rsidR="00BD08AF" w:rsidRPr="00BD08AF" w:rsidRDefault="00BD08AF" w:rsidP="00217CEC">
      <w:pPr>
        <w:jc w:val="both"/>
        <w:rPr>
          <w:rFonts w:ascii="Arial" w:hAnsi="Arial" w:cs="Arial"/>
        </w:rPr>
      </w:pPr>
      <w:r w:rsidRPr="00BD08AF">
        <w:rPr>
          <w:rFonts w:ascii="Arial" w:hAnsi="Arial" w:cs="Arial"/>
          <w:b/>
          <w:bCs/>
        </w:rPr>
        <w:t>After Action Review (AAR)</w:t>
      </w:r>
      <w:r w:rsidRPr="00BD08AF">
        <w:rPr>
          <w:rFonts w:ascii="Arial" w:hAnsi="Arial" w:cs="Arial"/>
        </w:rPr>
        <w:t xml:space="preserve">: is a structured facilitated discussion of an </w:t>
      </w:r>
      <w:r w:rsidR="006B4423">
        <w:rPr>
          <w:rFonts w:ascii="Arial" w:hAnsi="Arial" w:cs="Arial"/>
        </w:rPr>
        <w:t>i</w:t>
      </w:r>
      <w:r w:rsidRPr="00BD08AF">
        <w:rPr>
          <w:rFonts w:ascii="Arial" w:hAnsi="Arial" w:cs="Arial"/>
        </w:rPr>
        <w:t xml:space="preserve">ncident, the outcome of which gives individuals involved </w:t>
      </w:r>
      <w:r w:rsidR="006B4423">
        <w:rPr>
          <w:rFonts w:ascii="Arial" w:hAnsi="Arial" w:cs="Arial"/>
        </w:rPr>
        <w:t>an</w:t>
      </w:r>
      <w:r w:rsidRPr="00BD08AF">
        <w:rPr>
          <w:rFonts w:ascii="Arial" w:hAnsi="Arial" w:cs="Arial"/>
        </w:rPr>
        <w:t xml:space="preserve"> understanding of why the outcome differed from that expected and the learning to assist improvement. AAR generates insight from the various perspectives of </w:t>
      </w:r>
      <w:r w:rsidR="006B4423">
        <w:rPr>
          <w:rFonts w:ascii="Arial" w:hAnsi="Arial" w:cs="Arial"/>
        </w:rPr>
        <w:t>a muti-disciplinary team</w:t>
      </w:r>
      <w:r w:rsidRPr="00BD08AF">
        <w:rPr>
          <w:rFonts w:ascii="Arial" w:hAnsi="Arial" w:cs="Arial"/>
        </w:rPr>
        <w:t xml:space="preserve"> and can be used to discuss both positive outcomes as well as incidents. </w:t>
      </w:r>
    </w:p>
    <w:p w14:paraId="24484A21" w14:textId="77777777" w:rsidR="00BD08AF" w:rsidRPr="00BD08AF" w:rsidRDefault="00BD08AF" w:rsidP="00217CEC">
      <w:pPr>
        <w:jc w:val="both"/>
        <w:rPr>
          <w:rFonts w:ascii="Arial" w:hAnsi="Arial" w:cs="Arial"/>
        </w:rPr>
      </w:pPr>
      <w:r w:rsidRPr="00BD08AF">
        <w:rPr>
          <w:rFonts w:ascii="Arial" w:hAnsi="Arial" w:cs="Arial"/>
          <w:b/>
          <w:bCs/>
        </w:rPr>
        <w:lastRenderedPageBreak/>
        <w:t>Multi-disciplinary team (MDT) Review</w:t>
      </w:r>
      <w:r w:rsidRPr="00BD08AF">
        <w:rPr>
          <w:rFonts w:ascii="Arial" w:hAnsi="Arial" w:cs="Arial"/>
        </w:rPr>
        <w:t xml:space="preserve">: The multidisciplinary team (MDT) review supports health and social care teams to: identify learning from multiple patient safety incidents; agree the key contributory factors and system gaps in patient safety incidents; explore a safety theme, pathway, or process; and gain insight into ‘work as done’ in a health and social care system. </w:t>
      </w:r>
    </w:p>
    <w:p w14:paraId="04509495" w14:textId="4A7F4C34" w:rsidR="00BD08AF" w:rsidRPr="00BD08AF" w:rsidRDefault="00BD08AF" w:rsidP="00217CEC">
      <w:pPr>
        <w:jc w:val="both"/>
        <w:rPr>
          <w:rFonts w:ascii="Arial" w:hAnsi="Arial" w:cs="Arial"/>
        </w:rPr>
      </w:pPr>
      <w:r w:rsidRPr="00BD08AF">
        <w:rPr>
          <w:rFonts w:ascii="Arial" w:hAnsi="Arial" w:cs="Arial"/>
          <w:b/>
          <w:bCs/>
        </w:rPr>
        <w:t>Swarm Huddle</w:t>
      </w:r>
      <w:r w:rsidRPr="00BD08AF">
        <w:rPr>
          <w:rFonts w:ascii="Arial" w:hAnsi="Arial" w:cs="Arial"/>
        </w:rPr>
        <w:t xml:space="preserve">: Swarm-based safety huddles </w:t>
      </w:r>
      <w:r w:rsidR="006B4423">
        <w:rPr>
          <w:rFonts w:ascii="Arial" w:hAnsi="Arial" w:cs="Arial"/>
        </w:rPr>
        <w:t>are rapid reviews</w:t>
      </w:r>
      <w:r w:rsidRPr="00BD08AF">
        <w:rPr>
          <w:rFonts w:ascii="Arial" w:hAnsi="Arial" w:cs="Arial"/>
        </w:rPr>
        <w:t xml:space="preserve"> used to identify learning from patient safety incidents. Immediately after an incident, staff ‘swarm’ to the site to quickly (i.e. within 24 hours) analyse what happened and how it happened and decide what needs to be done to reduce risk</w:t>
      </w:r>
      <w:r w:rsidR="00300190">
        <w:rPr>
          <w:rFonts w:ascii="Arial" w:hAnsi="Arial" w:cs="Arial"/>
        </w:rPr>
        <w:t xml:space="preserve"> of reoccurrence</w:t>
      </w:r>
      <w:r w:rsidRPr="00BD08AF">
        <w:rPr>
          <w:rFonts w:ascii="Arial" w:hAnsi="Arial" w:cs="Arial"/>
        </w:rPr>
        <w:t xml:space="preserve">. </w:t>
      </w:r>
    </w:p>
    <w:p w14:paraId="2260BB46" w14:textId="6B9D738F" w:rsidR="00BD08AF" w:rsidRPr="00BD08AF" w:rsidRDefault="00BD08AF" w:rsidP="00217CEC">
      <w:pPr>
        <w:jc w:val="both"/>
        <w:rPr>
          <w:rFonts w:ascii="Arial" w:hAnsi="Arial" w:cs="Arial"/>
        </w:rPr>
      </w:pPr>
      <w:r w:rsidRPr="00BD08AF">
        <w:rPr>
          <w:rFonts w:ascii="Arial" w:hAnsi="Arial" w:cs="Arial"/>
          <w:b/>
          <w:bCs/>
        </w:rPr>
        <w:t>Case Note Review</w:t>
      </w:r>
      <w:r w:rsidRPr="00BD08AF">
        <w:rPr>
          <w:rFonts w:ascii="Arial" w:hAnsi="Arial" w:cs="Arial"/>
        </w:rPr>
        <w:t xml:space="preserve">: a method used to determine whether there were any problems in the care provided to a patient within a particular service. It is undertaken routinely to learn and improve in the absence of any particular concerns about care. This is because it can help identify problems where there is no initial suggestion anything has gone wrong. It can also be done where concerns exist, such as when bereaved families/carers or staff raise concerns about care. </w:t>
      </w:r>
    </w:p>
    <w:p w14:paraId="73FD272C" w14:textId="11DE6182" w:rsidR="00BD08AF" w:rsidRPr="00BD08AF" w:rsidRDefault="00BD08AF" w:rsidP="00217CEC">
      <w:pPr>
        <w:jc w:val="both"/>
        <w:rPr>
          <w:rFonts w:ascii="Arial" w:hAnsi="Arial" w:cs="Arial"/>
        </w:rPr>
      </w:pPr>
      <w:r w:rsidRPr="00BD08AF">
        <w:rPr>
          <w:rFonts w:ascii="Arial" w:hAnsi="Arial" w:cs="Arial"/>
          <w:b/>
          <w:bCs/>
        </w:rPr>
        <w:t>Structured Judgement Review</w:t>
      </w:r>
      <w:r w:rsidRPr="00BD08AF">
        <w:rPr>
          <w:rFonts w:ascii="Arial" w:hAnsi="Arial" w:cs="Arial"/>
        </w:rPr>
        <w:t xml:space="preserve">: a case note review methodology that blends traditional, clinical-judgement based review methods with a standard format. This approach requires reviewers to make safety and quality judgements over phases of care, to make explicit written comments about care for each phase, and to score care for each phase. The result is a relatively short but rich set of information about each case in a form that can also be aggregated to produce knowledge about clinical services and systems of care. </w:t>
      </w:r>
    </w:p>
    <w:p w14:paraId="51D4AC68" w14:textId="41ED9861" w:rsidR="00BD08AF" w:rsidRPr="00BD08AF" w:rsidRDefault="00BD08AF" w:rsidP="00217CEC">
      <w:pPr>
        <w:jc w:val="both"/>
        <w:rPr>
          <w:rFonts w:ascii="Arial" w:hAnsi="Arial" w:cs="Arial"/>
        </w:rPr>
      </w:pPr>
      <w:r w:rsidRPr="00BD08AF">
        <w:rPr>
          <w:rFonts w:ascii="Arial" w:hAnsi="Arial" w:cs="Arial"/>
          <w:b/>
          <w:bCs/>
        </w:rPr>
        <w:t>Clinical Governance and Risk Department (CGARD)</w:t>
      </w:r>
      <w:r w:rsidRPr="00BD08AF">
        <w:rPr>
          <w:rFonts w:ascii="Arial" w:hAnsi="Arial" w:cs="Arial"/>
        </w:rPr>
        <w:t xml:space="preserve">: Governance department within Newcastle Hospitals, responsible for </w:t>
      </w:r>
      <w:r w:rsidR="006B4423">
        <w:rPr>
          <w:rFonts w:ascii="Arial" w:hAnsi="Arial" w:cs="Arial"/>
        </w:rPr>
        <w:t>p</w:t>
      </w:r>
      <w:r w:rsidR="006B4423" w:rsidRPr="00BD08AF">
        <w:rPr>
          <w:rFonts w:ascii="Arial" w:hAnsi="Arial" w:cs="Arial"/>
        </w:rPr>
        <w:t xml:space="preserve">atient </w:t>
      </w:r>
      <w:r w:rsidR="006B4423">
        <w:rPr>
          <w:rFonts w:ascii="Arial" w:hAnsi="Arial" w:cs="Arial"/>
        </w:rPr>
        <w:t>s</w:t>
      </w:r>
      <w:r w:rsidR="006B4423" w:rsidRPr="00BD08AF">
        <w:rPr>
          <w:rFonts w:ascii="Arial" w:hAnsi="Arial" w:cs="Arial"/>
        </w:rPr>
        <w:t>afety</w:t>
      </w:r>
      <w:r w:rsidRPr="00BD08AF">
        <w:rPr>
          <w:rFonts w:ascii="Arial" w:hAnsi="Arial" w:cs="Arial"/>
        </w:rPr>
        <w:t xml:space="preserve">, </w:t>
      </w:r>
      <w:r w:rsidR="006B4423">
        <w:rPr>
          <w:rFonts w:ascii="Arial" w:hAnsi="Arial" w:cs="Arial"/>
        </w:rPr>
        <w:t>c</w:t>
      </w:r>
      <w:r w:rsidR="006B4423" w:rsidRPr="00BD08AF">
        <w:rPr>
          <w:rFonts w:ascii="Arial" w:hAnsi="Arial" w:cs="Arial"/>
        </w:rPr>
        <w:t xml:space="preserve">linical </w:t>
      </w:r>
      <w:r w:rsidR="006B4423">
        <w:rPr>
          <w:rFonts w:ascii="Arial" w:hAnsi="Arial" w:cs="Arial"/>
        </w:rPr>
        <w:t>e</w:t>
      </w:r>
      <w:r w:rsidR="006B4423" w:rsidRPr="00BD08AF">
        <w:rPr>
          <w:rFonts w:ascii="Arial" w:hAnsi="Arial" w:cs="Arial"/>
        </w:rPr>
        <w:t>ffectiveness</w:t>
      </w:r>
      <w:r w:rsidR="00300190">
        <w:rPr>
          <w:rFonts w:ascii="Arial" w:hAnsi="Arial" w:cs="Arial"/>
        </w:rPr>
        <w:t xml:space="preserve">, </w:t>
      </w:r>
      <w:r w:rsidR="006B4423">
        <w:rPr>
          <w:rFonts w:ascii="Arial" w:hAnsi="Arial" w:cs="Arial"/>
        </w:rPr>
        <w:t xml:space="preserve">compliance </w:t>
      </w:r>
      <w:r w:rsidR="00300190">
        <w:rPr>
          <w:rFonts w:ascii="Arial" w:hAnsi="Arial" w:cs="Arial"/>
        </w:rPr>
        <w:t xml:space="preserve">and </w:t>
      </w:r>
      <w:r w:rsidR="006B4423">
        <w:rPr>
          <w:rFonts w:ascii="Arial" w:hAnsi="Arial" w:cs="Arial"/>
        </w:rPr>
        <w:t>assurance</w:t>
      </w:r>
      <w:r w:rsidR="006B4423" w:rsidRPr="00BD08AF">
        <w:rPr>
          <w:rFonts w:ascii="Arial" w:hAnsi="Arial" w:cs="Arial"/>
        </w:rPr>
        <w:t xml:space="preserve"> </w:t>
      </w:r>
      <w:r w:rsidRPr="00BD08AF">
        <w:rPr>
          <w:rFonts w:ascii="Arial" w:hAnsi="Arial" w:cs="Arial"/>
        </w:rPr>
        <w:t xml:space="preserve">and </w:t>
      </w:r>
      <w:r w:rsidR="006B4423">
        <w:rPr>
          <w:rFonts w:ascii="Arial" w:hAnsi="Arial" w:cs="Arial"/>
        </w:rPr>
        <w:t>l</w:t>
      </w:r>
      <w:r w:rsidR="006B4423" w:rsidRPr="00BD08AF">
        <w:rPr>
          <w:rFonts w:ascii="Arial" w:hAnsi="Arial" w:cs="Arial"/>
        </w:rPr>
        <w:t xml:space="preserve">egal </w:t>
      </w:r>
      <w:r w:rsidR="006B4423">
        <w:rPr>
          <w:rFonts w:ascii="Arial" w:hAnsi="Arial" w:cs="Arial"/>
        </w:rPr>
        <w:t>s</w:t>
      </w:r>
      <w:r w:rsidR="006B4423" w:rsidRPr="00BD08AF">
        <w:rPr>
          <w:rFonts w:ascii="Arial" w:hAnsi="Arial" w:cs="Arial"/>
        </w:rPr>
        <w:t>ervices</w:t>
      </w:r>
      <w:r w:rsidRPr="00BD08AF">
        <w:rPr>
          <w:rFonts w:ascii="Arial" w:hAnsi="Arial" w:cs="Arial"/>
        </w:rPr>
        <w:t xml:space="preserve">. </w:t>
      </w:r>
    </w:p>
    <w:p w14:paraId="66E7017F" w14:textId="38246B19" w:rsidR="00BD08AF" w:rsidRPr="00BD08AF" w:rsidRDefault="002B1559" w:rsidP="00217CEC">
      <w:pPr>
        <w:jc w:val="both"/>
        <w:rPr>
          <w:rFonts w:ascii="Arial" w:hAnsi="Arial" w:cs="Arial"/>
        </w:rPr>
      </w:pPr>
      <w:r>
        <w:rPr>
          <w:rFonts w:ascii="Arial" w:hAnsi="Arial" w:cs="Arial"/>
          <w:b/>
          <w:bCs/>
        </w:rPr>
        <w:t xml:space="preserve">Maternity and Newborn Safety Investigation Health </w:t>
      </w:r>
      <w:r w:rsidR="00BD08AF" w:rsidRPr="00BD08AF">
        <w:rPr>
          <w:rFonts w:ascii="Arial" w:hAnsi="Arial" w:cs="Arial"/>
          <w:b/>
          <w:bCs/>
        </w:rPr>
        <w:t>(</w:t>
      </w:r>
      <w:r w:rsidR="009C4C7C">
        <w:rPr>
          <w:rFonts w:ascii="Arial" w:hAnsi="Arial" w:cs="Arial"/>
          <w:b/>
          <w:bCs/>
        </w:rPr>
        <w:t>MNSI</w:t>
      </w:r>
      <w:r w:rsidR="00BD08AF" w:rsidRPr="00BD08AF">
        <w:rPr>
          <w:rFonts w:ascii="Arial" w:hAnsi="Arial" w:cs="Arial"/>
          <w:b/>
          <w:bCs/>
        </w:rPr>
        <w:t>)</w:t>
      </w:r>
      <w:r w:rsidR="00BD08AF" w:rsidRPr="00BD08AF">
        <w:rPr>
          <w:rFonts w:ascii="Arial" w:hAnsi="Arial" w:cs="Arial"/>
        </w:rPr>
        <w:t>:</w:t>
      </w:r>
      <w:r w:rsidR="002C1A72">
        <w:rPr>
          <w:rFonts w:ascii="Arial" w:hAnsi="Arial" w:cs="Arial"/>
        </w:rPr>
        <w:t xml:space="preserve"> Perinatal</w:t>
      </w:r>
      <w:r w:rsidR="00BD08AF" w:rsidRPr="00BD08AF">
        <w:rPr>
          <w:rFonts w:ascii="Arial" w:hAnsi="Arial" w:cs="Arial"/>
        </w:rPr>
        <w:t xml:space="preserve"> </w:t>
      </w:r>
      <w:r w:rsidR="002C1A72">
        <w:rPr>
          <w:rFonts w:ascii="Arial" w:hAnsi="Arial" w:cs="Arial"/>
        </w:rPr>
        <w:t>p</w:t>
      </w:r>
      <w:r w:rsidR="00BD08AF" w:rsidRPr="00BD08AF">
        <w:rPr>
          <w:rFonts w:ascii="Arial" w:hAnsi="Arial" w:cs="Arial"/>
        </w:rPr>
        <w:t>atient safety body under direction from the Department of Health and Social Care</w:t>
      </w:r>
      <w:r w:rsidR="00DD5C02">
        <w:rPr>
          <w:rFonts w:ascii="Arial" w:hAnsi="Arial" w:cs="Arial"/>
        </w:rPr>
        <w:t>.</w:t>
      </w:r>
      <w:r w:rsidR="00BD08AF" w:rsidRPr="00BD08AF">
        <w:rPr>
          <w:rFonts w:ascii="Arial" w:hAnsi="Arial" w:cs="Arial"/>
        </w:rPr>
        <w:t xml:space="preserve"> </w:t>
      </w:r>
    </w:p>
    <w:p w14:paraId="32DA305B" w14:textId="1777EF19" w:rsidR="00DD5C02" w:rsidRDefault="009B38D4" w:rsidP="00217CEC">
      <w:pPr>
        <w:jc w:val="both"/>
        <w:rPr>
          <w:rFonts w:ascii="Arial" w:hAnsi="Arial" w:cs="Arial"/>
          <w:bCs/>
        </w:rPr>
      </w:pPr>
      <w:r w:rsidRPr="00DB02F5">
        <w:rPr>
          <w:rFonts w:ascii="Arial" w:hAnsi="Arial" w:cs="Arial"/>
          <w:b/>
        </w:rPr>
        <w:t>Level 2 mortality review</w:t>
      </w:r>
      <w:r w:rsidRPr="009B38D4">
        <w:rPr>
          <w:rFonts w:ascii="Arial" w:hAnsi="Arial" w:cs="Arial"/>
          <w:bCs/>
        </w:rPr>
        <w:t>:  A process in which the circumstance</w:t>
      </w:r>
      <w:r>
        <w:rPr>
          <w:rFonts w:ascii="Arial" w:hAnsi="Arial" w:cs="Arial"/>
          <w:bCs/>
        </w:rPr>
        <w:t>s around</w:t>
      </w:r>
      <w:r w:rsidRPr="009B38D4">
        <w:rPr>
          <w:rFonts w:ascii="Arial" w:hAnsi="Arial" w:cs="Arial"/>
          <w:bCs/>
        </w:rPr>
        <w:t xml:space="preserve"> the care of a patient who died in hospital are systematically examined. A stage 2 review will determine the quality of care and </w:t>
      </w:r>
      <w:r>
        <w:rPr>
          <w:rFonts w:ascii="Arial" w:hAnsi="Arial" w:cs="Arial"/>
          <w:bCs/>
        </w:rPr>
        <w:t>whether</w:t>
      </w:r>
      <w:r w:rsidRPr="009B38D4">
        <w:rPr>
          <w:rFonts w:ascii="Arial" w:hAnsi="Arial" w:cs="Arial"/>
          <w:bCs/>
        </w:rPr>
        <w:t xml:space="preserve"> the death</w:t>
      </w:r>
      <w:r>
        <w:rPr>
          <w:rFonts w:ascii="Arial" w:hAnsi="Arial" w:cs="Arial"/>
          <w:bCs/>
        </w:rPr>
        <w:t xml:space="preserve"> could have been avoidable</w:t>
      </w:r>
      <w:r w:rsidRPr="009B38D4">
        <w:rPr>
          <w:rFonts w:ascii="Arial" w:hAnsi="Arial" w:cs="Arial"/>
          <w:bCs/>
        </w:rPr>
        <w:t>.</w:t>
      </w:r>
      <w:r>
        <w:rPr>
          <w:rFonts w:ascii="Arial" w:hAnsi="Arial" w:cs="Arial"/>
          <w:bCs/>
        </w:rPr>
        <w:t xml:space="preserve"> Learning is disseminated through the appropriate clinical governance structures.</w:t>
      </w:r>
    </w:p>
    <w:p w14:paraId="035DFFD9" w14:textId="77777777" w:rsidR="007A6823" w:rsidRDefault="007A6823" w:rsidP="00217CEC">
      <w:pPr>
        <w:jc w:val="both"/>
        <w:rPr>
          <w:rFonts w:ascii="Arial" w:hAnsi="Arial" w:cs="Arial"/>
          <w:b/>
          <w:bCs/>
          <w:sz w:val="24"/>
          <w:szCs w:val="24"/>
        </w:rPr>
      </w:pPr>
    </w:p>
    <w:p w14:paraId="4175DC82" w14:textId="682D7479" w:rsidR="0026049D" w:rsidRPr="002B23C4" w:rsidRDefault="003B6F8A" w:rsidP="00217CEC">
      <w:pPr>
        <w:jc w:val="both"/>
        <w:rPr>
          <w:rFonts w:ascii="Arial" w:hAnsi="Arial" w:cs="Arial"/>
          <w:b/>
          <w:bCs/>
          <w:sz w:val="24"/>
          <w:szCs w:val="24"/>
        </w:rPr>
      </w:pPr>
      <w:r>
        <w:rPr>
          <w:rFonts w:ascii="Arial" w:hAnsi="Arial" w:cs="Arial"/>
          <w:b/>
          <w:bCs/>
          <w:sz w:val="24"/>
          <w:szCs w:val="24"/>
        </w:rPr>
        <w:t xml:space="preserve">4. </w:t>
      </w:r>
      <w:r w:rsidR="0026049D" w:rsidRPr="002B23C4">
        <w:rPr>
          <w:rFonts w:ascii="Arial" w:hAnsi="Arial" w:cs="Arial"/>
          <w:b/>
          <w:bCs/>
          <w:sz w:val="24"/>
          <w:szCs w:val="24"/>
        </w:rPr>
        <w:t>Evaluation</w:t>
      </w:r>
    </w:p>
    <w:p w14:paraId="61993021" w14:textId="77777777" w:rsidR="0026049D" w:rsidRPr="002B23C4" w:rsidRDefault="0026049D" w:rsidP="00217CEC">
      <w:pPr>
        <w:jc w:val="both"/>
        <w:rPr>
          <w:rFonts w:ascii="Arial" w:hAnsi="Arial" w:cs="Arial"/>
        </w:rPr>
      </w:pPr>
      <w:r w:rsidRPr="002B23C4">
        <w:rPr>
          <w:rFonts w:ascii="Arial" w:hAnsi="Arial" w:cs="Arial"/>
        </w:rPr>
        <w:t xml:space="preserve">Prior to updating this response plan, after 18 months we will seek views and assurance on the patient safety response framework and the effectiveness of this plan. </w:t>
      </w:r>
    </w:p>
    <w:p w14:paraId="4CD85813" w14:textId="4CE1A0F2" w:rsidR="00D54673" w:rsidRDefault="0026049D" w:rsidP="00217CEC">
      <w:pPr>
        <w:jc w:val="both"/>
        <w:rPr>
          <w:rFonts w:ascii="Arial" w:hAnsi="Arial" w:cs="Arial"/>
        </w:rPr>
      </w:pPr>
      <w:r w:rsidRPr="002B23C4">
        <w:rPr>
          <w:rFonts w:ascii="Arial" w:hAnsi="Arial" w:cs="Arial"/>
        </w:rPr>
        <w:t>This will ensure our future plan has further enhanced engagement on the improvement priority areas.</w:t>
      </w:r>
      <w:r w:rsidR="00D54673">
        <w:rPr>
          <w:rFonts w:ascii="Arial" w:hAnsi="Arial" w:cs="Arial"/>
        </w:rPr>
        <w:br w:type="page"/>
      </w:r>
    </w:p>
    <w:p w14:paraId="044A57C7" w14:textId="1B188FA5" w:rsidR="00BD08AF" w:rsidRDefault="003B6F8A" w:rsidP="00BD08AF">
      <w:pPr>
        <w:rPr>
          <w:rFonts w:ascii="Arial" w:hAnsi="Arial" w:cs="Arial"/>
          <w:b/>
          <w:bCs/>
          <w:sz w:val="24"/>
          <w:szCs w:val="24"/>
        </w:rPr>
      </w:pPr>
      <w:r>
        <w:rPr>
          <w:rFonts w:ascii="Arial" w:hAnsi="Arial" w:cs="Arial"/>
          <w:b/>
          <w:bCs/>
          <w:sz w:val="24"/>
          <w:szCs w:val="24"/>
        </w:rPr>
        <w:lastRenderedPageBreak/>
        <w:t xml:space="preserve">5. </w:t>
      </w:r>
      <w:r w:rsidR="00BD08AF" w:rsidRPr="00BD08AF">
        <w:rPr>
          <w:rFonts w:ascii="Arial" w:hAnsi="Arial" w:cs="Arial"/>
          <w:b/>
          <w:bCs/>
          <w:sz w:val="24"/>
          <w:szCs w:val="24"/>
        </w:rPr>
        <w:t>Stakeholder engagement</w:t>
      </w:r>
    </w:p>
    <w:p w14:paraId="23E5599D" w14:textId="5892E242" w:rsidR="005107F7" w:rsidRDefault="005107F7" w:rsidP="00BD08AF">
      <w:pPr>
        <w:rPr>
          <w:rFonts w:ascii="Arial" w:hAnsi="Arial" w:cs="Arial"/>
        </w:rPr>
      </w:pPr>
      <w:r w:rsidRPr="000770CF">
        <w:rPr>
          <w:rFonts w:ascii="Arial" w:hAnsi="Arial" w:cs="Arial"/>
        </w:rPr>
        <w:t xml:space="preserve">To develop the </w:t>
      </w:r>
      <w:r w:rsidR="00CD74C9" w:rsidRPr="000770CF">
        <w:rPr>
          <w:rFonts w:ascii="Arial" w:hAnsi="Arial" w:cs="Arial"/>
        </w:rPr>
        <w:t>framework</w:t>
      </w:r>
      <w:r w:rsidRPr="000770CF">
        <w:rPr>
          <w:rFonts w:ascii="Arial" w:hAnsi="Arial" w:cs="Arial"/>
        </w:rPr>
        <w:t xml:space="preserve"> and plan we engaged with </w:t>
      </w:r>
      <w:r w:rsidR="00CD74C9" w:rsidRPr="000770CF">
        <w:rPr>
          <w:rFonts w:ascii="Arial" w:hAnsi="Arial" w:cs="Arial"/>
        </w:rPr>
        <w:t>a range of different people. A summary of this engagement is detailed below</w:t>
      </w:r>
      <w:r w:rsidR="000770CF" w:rsidRPr="000770CF">
        <w:rPr>
          <w:rFonts w:ascii="Arial" w:hAnsi="Arial" w:cs="Arial"/>
        </w:rPr>
        <w:t>.</w:t>
      </w:r>
    </w:p>
    <w:tbl>
      <w:tblPr>
        <w:tblStyle w:val="TableGrid"/>
        <w:tblW w:w="0" w:type="auto"/>
        <w:tblLook w:val="04A0" w:firstRow="1" w:lastRow="0" w:firstColumn="1" w:lastColumn="0" w:noHBand="0" w:noVBand="1"/>
      </w:tblPr>
      <w:tblGrid>
        <w:gridCol w:w="3823"/>
        <w:gridCol w:w="5193"/>
      </w:tblGrid>
      <w:tr w:rsidR="00BD08AF" w:rsidRPr="000770CF" w14:paraId="29992C42" w14:textId="77777777" w:rsidTr="003B6F8A">
        <w:tc>
          <w:tcPr>
            <w:tcW w:w="3823" w:type="dxa"/>
            <w:shd w:val="clear" w:color="auto" w:fill="BFBFBF" w:themeFill="background1" w:themeFillShade="BF"/>
          </w:tcPr>
          <w:p w14:paraId="237E2E46" w14:textId="77777777" w:rsidR="00BD08AF" w:rsidRPr="000770CF" w:rsidRDefault="00BD08AF" w:rsidP="00070152">
            <w:pPr>
              <w:rPr>
                <w:rFonts w:ascii="Arial" w:hAnsi="Arial" w:cs="Arial"/>
                <w:b/>
                <w:bCs/>
              </w:rPr>
            </w:pPr>
            <w:r w:rsidRPr="000770CF">
              <w:rPr>
                <w:rFonts w:ascii="Arial" w:hAnsi="Arial" w:cs="Arial"/>
                <w:b/>
                <w:bCs/>
              </w:rPr>
              <w:t xml:space="preserve">Stakeholder </w:t>
            </w:r>
          </w:p>
          <w:p w14:paraId="44C38C00" w14:textId="77777777" w:rsidR="003B6F8A" w:rsidRPr="000770CF" w:rsidRDefault="003B6F8A" w:rsidP="00070152">
            <w:pPr>
              <w:rPr>
                <w:rFonts w:ascii="Arial" w:hAnsi="Arial" w:cs="Arial"/>
                <w:b/>
                <w:bCs/>
              </w:rPr>
            </w:pPr>
          </w:p>
        </w:tc>
        <w:tc>
          <w:tcPr>
            <w:tcW w:w="5193" w:type="dxa"/>
            <w:shd w:val="clear" w:color="auto" w:fill="BFBFBF" w:themeFill="background1" w:themeFillShade="BF"/>
          </w:tcPr>
          <w:p w14:paraId="1CDEC786" w14:textId="77777777" w:rsidR="00BD08AF" w:rsidRPr="000770CF" w:rsidRDefault="00BD08AF" w:rsidP="00070152">
            <w:pPr>
              <w:rPr>
                <w:rFonts w:ascii="Arial" w:hAnsi="Arial" w:cs="Arial"/>
                <w:b/>
                <w:bCs/>
              </w:rPr>
            </w:pPr>
            <w:r w:rsidRPr="000770CF">
              <w:rPr>
                <w:rFonts w:ascii="Arial" w:hAnsi="Arial" w:cs="Arial"/>
                <w:b/>
                <w:bCs/>
              </w:rPr>
              <w:t>Involvement</w:t>
            </w:r>
          </w:p>
        </w:tc>
      </w:tr>
      <w:tr w:rsidR="00BD08AF" w:rsidRPr="000770CF" w14:paraId="37F6CF4F" w14:textId="77777777" w:rsidTr="003B6F8A">
        <w:tc>
          <w:tcPr>
            <w:tcW w:w="3823" w:type="dxa"/>
          </w:tcPr>
          <w:p w14:paraId="7443ABE0" w14:textId="77777777" w:rsidR="00BD08AF" w:rsidRPr="000770CF" w:rsidRDefault="00BD08AF" w:rsidP="00070152">
            <w:pPr>
              <w:rPr>
                <w:rFonts w:ascii="Arial" w:hAnsi="Arial" w:cs="Arial"/>
              </w:rPr>
            </w:pPr>
            <w:r w:rsidRPr="000770CF">
              <w:rPr>
                <w:rFonts w:ascii="Arial" w:hAnsi="Arial" w:cs="Arial"/>
              </w:rPr>
              <w:t>Staff</w:t>
            </w:r>
          </w:p>
        </w:tc>
        <w:tc>
          <w:tcPr>
            <w:tcW w:w="5193" w:type="dxa"/>
          </w:tcPr>
          <w:p w14:paraId="6325B0A7" w14:textId="3CAB97C1" w:rsidR="00BD08AF" w:rsidRPr="000770CF" w:rsidRDefault="00BD08AF" w:rsidP="00070152">
            <w:pPr>
              <w:rPr>
                <w:rFonts w:ascii="Arial" w:hAnsi="Arial" w:cs="Arial"/>
              </w:rPr>
            </w:pPr>
            <w:r w:rsidRPr="000770CF">
              <w:rPr>
                <w:rFonts w:ascii="Arial" w:hAnsi="Arial" w:cs="Arial"/>
              </w:rPr>
              <w:t>Through incidents reported on the Trust incident reporting system (Datix)</w:t>
            </w:r>
            <w:r w:rsidR="00381D25" w:rsidRPr="000770CF">
              <w:rPr>
                <w:rFonts w:ascii="Arial" w:hAnsi="Arial" w:cs="Arial"/>
              </w:rPr>
              <w:t>.</w:t>
            </w:r>
          </w:p>
        </w:tc>
      </w:tr>
      <w:tr w:rsidR="00BD08AF" w:rsidRPr="000770CF" w14:paraId="7F45DAE4" w14:textId="77777777" w:rsidTr="003B6F8A">
        <w:tc>
          <w:tcPr>
            <w:tcW w:w="3823" w:type="dxa"/>
          </w:tcPr>
          <w:p w14:paraId="127BDEF9" w14:textId="77777777" w:rsidR="00BD08AF" w:rsidRPr="000770CF" w:rsidRDefault="00BD08AF" w:rsidP="00070152">
            <w:pPr>
              <w:rPr>
                <w:rFonts w:ascii="Arial" w:hAnsi="Arial" w:cs="Arial"/>
              </w:rPr>
            </w:pPr>
            <w:r w:rsidRPr="000770CF">
              <w:rPr>
                <w:rFonts w:ascii="Arial" w:hAnsi="Arial" w:cs="Arial"/>
              </w:rPr>
              <w:t xml:space="preserve">Core Project Team </w:t>
            </w:r>
          </w:p>
        </w:tc>
        <w:tc>
          <w:tcPr>
            <w:tcW w:w="5193" w:type="dxa"/>
          </w:tcPr>
          <w:p w14:paraId="35259EB2" w14:textId="77777777" w:rsidR="00BD08AF" w:rsidRPr="000770CF" w:rsidRDefault="00BD08AF" w:rsidP="00070152">
            <w:pPr>
              <w:rPr>
                <w:rFonts w:ascii="Arial" w:hAnsi="Arial" w:cs="Arial"/>
              </w:rPr>
            </w:pPr>
            <w:r w:rsidRPr="000770CF">
              <w:rPr>
                <w:rFonts w:ascii="Arial" w:hAnsi="Arial" w:cs="Arial"/>
              </w:rPr>
              <w:t>The team conducted the data collection and initial analysis to socialise further. This team also triangulated the data and responded to any comments, feedback and challenges.</w:t>
            </w:r>
          </w:p>
        </w:tc>
      </w:tr>
      <w:tr w:rsidR="00BD08AF" w:rsidRPr="000770CF" w14:paraId="6697E257" w14:textId="77777777" w:rsidTr="003B6F8A">
        <w:tc>
          <w:tcPr>
            <w:tcW w:w="3823" w:type="dxa"/>
          </w:tcPr>
          <w:p w14:paraId="35EB60ED" w14:textId="77777777" w:rsidR="00BD08AF" w:rsidRPr="000770CF" w:rsidRDefault="00BD08AF" w:rsidP="00070152">
            <w:pPr>
              <w:rPr>
                <w:rFonts w:ascii="Arial" w:hAnsi="Arial" w:cs="Arial"/>
              </w:rPr>
            </w:pPr>
            <w:r w:rsidRPr="000770CF">
              <w:rPr>
                <w:rFonts w:ascii="Arial" w:hAnsi="Arial" w:cs="Arial"/>
              </w:rPr>
              <w:t xml:space="preserve">Clinical Boards </w:t>
            </w:r>
          </w:p>
        </w:tc>
        <w:tc>
          <w:tcPr>
            <w:tcW w:w="5193" w:type="dxa"/>
          </w:tcPr>
          <w:p w14:paraId="21F246EE" w14:textId="1DE99FC1" w:rsidR="00BD08AF" w:rsidRPr="000770CF" w:rsidRDefault="00BD08AF" w:rsidP="00070152">
            <w:pPr>
              <w:rPr>
                <w:rFonts w:ascii="Arial" w:hAnsi="Arial" w:cs="Arial"/>
              </w:rPr>
            </w:pPr>
            <w:r w:rsidRPr="000770CF">
              <w:rPr>
                <w:rFonts w:ascii="Arial" w:hAnsi="Arial" w:cs="Arial"/>
              </w:rPr>
              <w:t>Boards were asked to provide detailed feedback, analysis and recommendations to ensure that the proposed incident profiles aligned with the current incidents and improvement work ongoing in their areas</w:t>
            </w:r>
            <w:r w:rsidR="00381D25" w:rsidRPr="000770CF">
              <w:rPr>
                <w:rFonts w:ascii="Arial" w:hAnsi="Arial" w:cs="Arial"/>
              </w:rPr>
              <w:t>.</w:t>
            </w:r>
          </w:p>
        </w:tc>
      </w:tr>
      <w:tr w:rsidR="00BD08AF" w:rsidRPr="000770CF" w14:paraId="1F6963EB" w14:textId="77777777" w:rsidTr="003B6F8A">
        <w:tc>
          <w:tcPr>
            <w:tcW w:w="3823" w:type="dxa"/>
          </w:tcPr>
          <w:p w14:paraId="6BD30130" w14:textId="77777777" w:rsidR="00BD08AF" w:rsidRPr="000770CF" w:rsidRDefault="00BD08AF" w:rsidP="00070152">
            <w:pPr>
              <w:rPr>
                <w:rFonts w:ascii="Arial" w:hAnsi="Arial" w:cs="Arial"/>
              </w:rPr>
            </w:pPr>
            <w:r w:rsidRPr="000770CF">
              <w:rPr>
                <w:rFonts w:ascii="Arial" w:hAnsi="Arial" w:cs="Arial"/>
              </w:rPr>
              <w:t>Board Executives</w:t>
            </w:r>
          </w:p>
        </w:tc>
        <w:tc>
          <w:tcPr>
            <w:tcW w:w="5193" w:type="dxa"/>
          </w:tcPr>
          <w:p w14:paraId="18E1899F" w14:textId="77777777" w:rsidR="00BD08AF" w:rsidRPr="000770CF" w:rsidRDefault="00BD08AF" w:rsidP="00070152">
            <w:pPr>
              <w:rPr>
                <w:rFonts w:ascii="Arial" w:hAnsi="Arial" w:cs="Arial"/>
              </w:rPr>
            </w:pPr>
            <w:r w:rsidRPr="000770CF">
              <w:rPr>
                <w:rFonts w:ascii="Arial" w:hAnsi="Arial" w:cs="Arial"/>
              </w:rPr>
              <w:t>The proposed incident profiles were presented to the Trust Board (executive &amp; non-executive) for oversight and comment.</w:t>
            </w:r>
          </w:p>
        </w:tc>
      </w:tr>
      <w:tr w:rsidR="00BD08AF" w:rsidRPr="000770CF" w14:paraId="7B4560DD" w14:textId="77777777" w:rsidTr="003B6F8A">
        <w:tc>
          <w:tcPr>
            <w:tcW w:w="3823" w:type="dxa"/>
          </w:tcPr>
          <w:p w14:paraId="292AE8F7" w14:textId="77777777" w:rsidR="00BD08AF" w:rsidRPr="000770CF" w:rsidRDefault="00BD08AF" w:rsidP="00070152">
            <w:pPr>
              <w:rPr>
                <w:rFonts w:ascii="Arial" w:hAnsi="Arial" w:cs="Arial"/>
              </w:rPr>
            </w:pPr>
            <w:r w:rsidRPr="000770CF">
              <w:rPr>
                <w:rFonts w:ascii="Arial" w:hAnsi="Arial" w:cs="Arial"/>
              </w:rPr>
              <w:t>Trust Quality Committee</w:t>
            </w:r>
          </w:p>
        </w:tc>
        <w:tc>
          <w:tcPr>
            <w:tcW w:w="5193" w:type="dxa"/>
          </w:tcPr>
          <w:p w14:paraId="6E382737" w14:textId="77777777" w:rsidR="00BD08AF" w:rsidRPr="000770CF" w:rsidRDefault="00BD08AF" w:rsidP="00070152">
            <w:pPr>
              <w:rPr>
                <w:rFonts w:ascii="Arial" w:hAnsi="Arial" w:cs="Arial"/>
              </w:rPr>
            </w:pPr>
            <w:r w:rsidRPr="000770CF">
              <w:rPr>
                <w:rFonts w:ascii="Arial" w:hAnsi="Arial" w:cs="Arial"/>
              </w:rPr>
              <w:t xml:space="preserve">The proposed incidents profiles were reviewed across all trustwide quality committees for comment, challenge and feedback. </w:t>
            </w:r>
          </w:p>
        </w:tc>
      </w:tr>
      <w:tr w:rsidR="00BD08AF" w:rsidRPr="000770CF" w14:paraId="705E1AE1" w14:textId="77777777" w:rsidTr="003B6F8A">
        <w:tc>
          <w:tcPr>
            <w:tcW w:w="3823" w:type="dxa"/>
          </w:tcPr>
          <w:p w14:paraId="2FA1F01A" w14:textId="77777777" w:rsidR="00BD08AF" w:rsidRPr="000770CF" w:rsidRDefault="00BD08AF" w:rsidP="00070152">
            <w:pPr>
              <w:rPr>
                <w:rFonts w:ascii="Arial" w:hAnsi="Arial" w:cs="Arial"/>
              </w:rPr>
            </w:pPr>
            <w:r w:rsidRPr="000770CF">
              <w:rPr>
                <w:rFonts w:ascii="Arial" w:hAnsi="Arial" w:cs="Arial"/>
              </w:rPr>
              <w:t xml:space="preserve">Newcastle Improvement </w:t>
            </w:r>
          </w:p>
        </w:tc>
        <w:tc>
          <w:tcPr>
            <w:tcW w:w="5193" w:type="dxa"/>
          </w:tcPr>
          <w:p w14:paraId="7284EBFC" w14:textId="77777777" w:rsidR="00BD08AF" w:rsidRPr="000770CF" w:rsidRDefault="00BD08AF" w:rsidP="00070152">
            <w:pPr>
              <w:rPr>
                <w:rFonts w:ascii="Arial" w:hAnsi="Arial" w:cs="Arial"/>
              </w:rPr>
            </w:pPr>
            <w:r w:rsidRPr="000770CF">
              <w:rPr>
                <w:rFonts w:ascii="Arial" w:hAnsi="Arial" w:cs="Arial"/>
              </w:rPr>
              <w:t>The proposed incidents profiles were reviewed for comment, challenge and feedback. Alignment with ongoing and future plans for improvement work.</w:t>
            </w:r>
          </w:p>
        </w:tc>
      </w:tr>
      <w:tr w:rsidR="00BD08AF" w:rsidRPr="000770CF" w14:paraId="39ACB7B6" w14:textId="77777777" w:rsidTr="003B6F8A">
        <w:tc>
          <w:tcPr>
            <w:tcW w:w="3823" w:type="dxa"/>
          </w:tcPr>
          <w:p w14:paraId="653A1F26" w14:textId="77777777" w:rsidR="00BD08AF" w:rsidRPr="000770CF" w:rsidRDefault="00BD08AF" w:rsidP="00070152">
            <w:pPr>
              <w:rPr>
                <w:rFonts w:ascii="Arial" w:hAnsi="Arial" w:cs="Arial"/>
              </w:rPr>
            </w:pPr>
            <w:r w:rsidRPr="000770CF">
              <w:rPr>
                <w:rFonts w:ascii="Arial" w:hAnsi="Arial" w:cs="Arial"/>
              </w:rPr>
              <w:t xml:space="preserve">Patient Experience Team </w:t>
            </w:r>
          </w:p>
        </w:tc>
        <w:tc>
          <w:tcPr>
            <w:tcW w:w="5193" w:type="dxa"/>
          </w:tcPr>
          <w:p w14:paraId="01C9E6ED" w14:textId="6D684704" w:rsidR="00BD08AF" w:rsidRPr="000770CF" w:rsidRDefault="00BD08AF" w:rsidP="00070152">
            <w:pPr>
              <w:rPr>
                <w:rFonts w:ascii="Arial" w:hAnsi="Arial" w:cs="Arial"/>
              </w:rPr>
            </w:pPr>
            <w:r w:rsidRPr="000770CF">
              <w:rPr>
                <w:rFonts w:ascii="Arial" w:hAnsi="Arial" w:cs="Arial"/>
              </w:rPr>
              <w:t>Provided data based upon patient feedback, experiences and complaints to ensure that the patient voice was acknowledged and included within the thematic analysis provided.</w:t>
            </w:r>
            <w:r w:rsidR="00381D25" w:rsidRPr="000770CF">
              <w:rPr>
                <w:rFonts w:ascii="Arial" w:hAnsi="Arial" w:cs="Arial"/>
              </w:rPr>
              <w:t xml:space="preserve"> Further development work for Patient Safety Partners.</w:t>
            </w:r>
          </w:p>
        </w:tc>
      </w:tr>
      <w:tr w:rsidR="00BD08AF" w:rsidRPr="000770CF" w14:paraId="4E5D7241" w14:textId="77777777" w:rsidTr="003B6F8A">
        <w:tc>
          <w:tcPr>
            <w:tcW w:w="3823" w:type="dxa"/>
          </w:tcPr>
          <w:p w14:paraId="3210A201" w14:textId="77777777" w:rsidR="00BD08AF" w:rsidRPr="000770CF" w:rsidRDefault="00BD08AF" w:rsidP="00070152">
            <w:pPr>
              <w:rPr>
                <w:rFonts w:ascii="Arial" w:hAnsi="Arial" w:cs="Arial"/>
              </w:rPr>
            </w:pPr>
            <w:r w:rsidRPr="000770CF">
              <w:rPr>
                <w:rFonts w:ascii="Arial" w:hAnsi="Arial" w:cs="Arial"/>
              </w:rPr>
              <w:t>Legal and Claims, Learning from Deaths, Risk Register</w:t>
            </w:r>
          </w:p>
        </w:tc>
        <w:tc>
          <w:tcPr>
            <w:tcW w:w="5193" w:type="dxa"/>
          </w:tcPr>
          <w:p w14:paraId="4323C586" w14:textId="77777777" w:rsidR="00BD08AF" w:rsidRPr="000770CF" w:rsidRDefault="00BD08AF" w:rsidP="00070152">
            <w:pPr>
              <w:rPr>
                <w:rFonts w:ascii="Arial" w:hAnsi="Arial" w:cs="Arial"/>
              </w:rPr>
            </w:pPr>
            <w:r w:rsidRPr="000770CF">
              <w:rPr>
                <w:rFonts w:ascii="Arial" w:hAnsi="Arial" w:cs="Arial"/>
              </w:rPr>
              <w:t>Provided additional data and reports to enable a thematic review and triangulation with the proposed incident profiles.</w:t>
            </w:r>
          </w:p>
        </w:tc>
      </w:tr>
      <w:tr w:rsidR="00BD08AF" w:rsidRPr="000770CF" w14:paraId="76426CD7" w14:textId="77777777" w:rsidTr="003B6F8A">
        <w:tc>
          <w:tcPr>
            <w:tcW w:w="3823" w:type="dxa"/>
          </w:tcPr>
          <w:p w14:paraId="71F519E0" w14:textId="26C86E1A" w:rsidR="00BD08AF" w:rsidRPr="000770CF" w:rsidRDefault="00BD08AF" w:rsidP="00070152">
            <w:pPr>
              <w:rPr>
                <w:rFonts w:ascii="Arial" w:hAnsi="Arial" w:cs="Arial"/>
              </w:rPr>
            </w:pPr>
            <w:r w:rsidRPr="000770CF">
              <w:rPr>
                <w:rFonts w:ascii="Arial" w:hAnsi="Arial" w:cs="Arial"/>
              </w:rPr>
              <w:t xml:space="preserve">Patient Safety Partners </w:t>
            </w:r>
            <w:r w:rsidR="00381D25" w:rsidRPr="000770CF">
              <w:rPr>
                <w:rFonts w:ascii="Arial" w:hAnsi="Arial" w:cs="Arial"/>
              </w:rPr>
              <w:t>(PSP)</w:t>
            </w:r>
          </w:p>
          <w:p w14:paraId="62EEA6A7" w14:textId="77777777" w:rsidR="00BD08AF" w:rsidRPr="000770CF" w:rsidRDefault="00BD08AF" w:rsidP="00070152">
            <w:pPr>
              <w:rPr>
                <w:rFonts w:ascii="Arial" w:hAnsi="Arial" w:cs="Arial"/>
              </w:rPr>
            </w:pPr>
          </w:p>
        </w:tc>
        <w:tc>
          <w:tcPr>
            <w:tcW w:w="5193" w:type="dxa"/>
          </w:tcPr>
          <w:p w14:paraId="787C2D4E" w14:textId="34CC5F72" w:rsidR="00BD08AF" w:rsidRPr="000770CF" w:rsidRDefault="001A11DF" w:rsidP="00070152">
            <w:pPr>
              <w:rPr>
                <w:rFonts w:ascii="Arial" w:hAnsi="Arial" w:cs="Arial"/>
              </w:rPr>
            </w:pPr>
            <w:r w:rsidRPr="000770CF">
              <w:rPr>
                <w:rFonts w:ascii="Arial" w:hAnsi="Arial" w:cs="Arial"/>
              </w:rPr>
              <w:t xml:space="preserve">Further development work </w:t>
            </w:r>
            <w:r w:rsidR="00381D25" w:rsidRPr="000770CF">
              <w:rPr>
                <w:rFonts w:ascii="Arial" w:hAnsi="Arial" w:cs="Arial"/>
              </w:rPr>
              <w:t>required in regard to PSP</w:t>
            </w:r>
            <w:r w:rsidRPr="000770CF">
              <w:rPr>
                <w:rFonts w:ascii="Arial" w:hAnsi="Arial" w:cs="Arial"/>
              </w:rPr>
              <w:t xml:space="preserve"> job </w:t>
            </w:r>
            <w:r w:rsidR="00DD5C02" w:rsidRPr="000770CF">
              <w:rPr>
                <w:rFonts w:ascii="Arial" w:hAnsi="Arial" w:cs="Arial"/>
              </w:rPr>
              <w:t>descriptions.</w:t>
            </w:r>
          </w:p>
          <w:p w14:paraId="4EE304F8" w14:textId="77777777" w:rsidR="00BD08AF" w:rsidRPr="000770CF" w:rsidRDefault="00BD08AF" w:rsidP="00070152">
            <w:pPr>
              <w:rPr>
                <w:rFonts w:ascii="Arial" w:hAnsi="Arial" w:cs="Arial"/>
              </w:rPr>
            </w:pPr>
          </w:p>
        </w:tc>
      </w:tr>
    </w:tbl>
    <w:p w14:paraId="2408BCF8" w14:textId="77777777" w:rsidR="00BD08AF" w:rsidRPr="000770CF" w:rsidRDefault="00BD08AF" w:rsidP="00BD08AF">
      <w:pPr>
        <w:rPr>
          <w:rFonts w:ascii="Arial" w:hAnsi="Arial" w:cs="Arial"/>
          <w:b/>
          <w:bCs/>
          <w:sz w:val="24"/>
          <w:szCs w:val="24"/>
        </w:rPr>
      </w:pPr>
    </w:p>
    <w:p w14:paraId="35041462" w14:textId="027D8E13" w:rsidR="006547E5" w:rsidRDefault="003B6F8A" w:rsidP="006547E5">
      <w:pPr>
        <w:rPr>
          <w:rFonts w:ascii="Arial" w:hAnsi="Arial" w:cs="Arial"/>
          <w:b/>
          <w:bCs/>
          <w:sz w:val="24"/>
          <w:szCs w:val="24"/>
        </w:rPr>
      </w:pPr>
      <w:r>
        <w:rPr>
          <w:rFonts w:ascii="Arial" w:hAnsi="Arial" w:cs="Arial"/>
          <w:b/>
          <w:bCs/>
          <w:sz w:val="24"/>
          <w:szCs w:val="24"/>
        </w:rPr>
        <w:t xml:space="preserve">6. </w:t>
      </w:r>
      <w:r w:rsidR="006547E5" w:rsidRPr="006547E5">
        <w:rPr>
          <w:rFonts w:ascii="Arial" w:hAnsi="Arial" w:cs="Arial"/>
          <w:b/>
          <w:bCs/>
          <w:sz w:val="24"/>
          <w:szCs w:val="24"/>
        </w:rPr>
        <w:t>Defining our patient safety incident profile</w:t>
      </w:r>
    </w:p>
    <w:p w14:paraId="0439AB0A" w14:textId="69DD23E7" w:rsidR="006547E5" w:rsidRPr="006547E5" w:rsidRDefault="003B6F8A" w:rsidP="006547E5">
      <w:pPr>
        <w:rPr>
          <w:rFonts w:ascii="Arial" w:hAnsi="Arial" w:cs="Arial"/>
          <w:b/>
          <w:bCs/>
          <w:sz w:val="24"/>
          <w:szCs w:val="24"/>
        </w:rPr>
      </w:pPr>
      <w:r>
        <w:rPr>
          <w:rFonts w:ascii="Arial" w:hAnsi="Arial" w:cs="Arial"/>
          <w:b/>
          <w:bCs/>
          <w:sz w:val="24"/>
          <w:szCs w:val="24"/>
        </w:rPr>
        <w:t xml:space="preserve">6.1 </w:t>
      </w:r>
      <w:r w:rsidR="006547E5" w:rsidRPr="006547E5">
        <w:rPr>
          <w:rFonts w:ascii="Arial" w:hAnsi="Arial" w:cs="Arial"/>
          <w:b/>
          <w:bCs/>
          <w:sz w:val="24"/>
          <w:szCs w:val="24"/>
        </w:rPr>
        <w:t xml:space="preserve">Situational analysis </w:t>
      </w:r>
    </w:p>
    <w:p w14:paraId="33636418" w14:textId="605CC333" w:rsidR="006547E5" w:rsidRPr="006547E5" w:rsidRDefault="006547E5" w:rsidP="006547E5">
      <w:pPr>
        <w:jc w:val="both"/>
        <w:rPr>
          <w:rFonts w:ascii="Arial" w:hAnsi="Arial" w:cs="Arial"/>
        </w:rPr>
      </w:pPr>
      <w:r w:rsidRPr="006547E5">
        <w:rPr>
          <w:rFonts w:ascii="Arial" w:hAnsi="Arial" w:cs="Arial"/>
        </w:rPr>
        <w:t>The Trust reviewed available incident data from the last three years,</w:t>
      </w:r>
      <w:r w:rsidR="00381D25">
        <w:rPr>
          <w:rFonts w:ascii="Arial" w:hAnsi="Arial" w:cs="Arial"/>
        </w:rPr>
        <w:t xml:space="preserve"> </w:t>
      </w:r>
      <w:r w:rsidR="000770CF">
        <w:rPr>
          <w:rFonts w:ascii="Arial" w:hAnsi="Arial" w:cs="Arial"/>
        </w:rPr>
        <w:t xml:space="preserve">1 January </w:t>
      </w:r>
      <w:r w:rsidRPr="006547E5">
        <w:rPr>
          <w:rFonts w:ascii="Arial" w:hAnsi="Arial" w:cs="Arial"/>
        </w:rPr>
        <w:t>2020</w:t>
      </w:r>
      <w:r w:rsidR="000770CF">
        <w:rPr>
          <w:rFonts w:ascii="Arial" w:hAnsi="Arial" w:cs="Arial"/>
        </w:rPr>
        <w:t xml:space="preserve"> to </w:t>
      </w:r>
      <w:r w:rsidRPr="006547E5">
        <w:rPr>
          <w:rFonts w:ascii="Arial" w:hAnsi="Arial" w:cs="Arial"/>
        </w:rPr>
        <w:t>31</w:t>
      </w:r>
      <w:r w:rsidR="000770CF">
        <w:rPr>
          <w:rFonts w:ascii="Arial" w:hAnsi="Arial" w:cs="Arial"/>
        </w:rPr>
        <w:t xml:space="preserve"> December 2022</w:t>
      </w:r>
      <w:r w:rsidRPr="006547E5">
        <w:rPr>
          <w:rFonts w:ascii="Arial" w:hAnsi="Arial" w:cs="Arial"/>
        </w:rPr>
        <w:t xml:space="preserve"> (</w:t>
      </w:r>
      <w:r w:rsidR="00F1711E">
        <w:rPr>
          <w:rFonts w:ascii="Arial" w:hAnsi="Arial" w:cs="Arial"/>
        </w:rPr>
        <w:t>Figure</w:t>
      </w:r>
      <w:r w:rsidR="00F1711E" w:rsidRPr="006547E5">
        <w:rPr>
          <w:rFonts w:ascii="Arial" w:hAnsi="Arial" w:cs="Arial"/>
        </w:rPr>
        <w:t xml:space="preserve"> </w:t>
      </w:r>
      <w:r w:rsidRPr="006547E5">
        <w:rPr>
          <w:rFonts w:ascii="Arial" w:hAnsi="Arial" w:cs="Arial"/>
        </w:rPr>
        <w:t xml:space="preserve">1). This included </w:t>
      </w:r>
      <w:r w:rsidR="00E07A24">
        <w:rPr>
          <w:rFonts w:ascii="Arial" w:hAnsi="Arial" w:cs="Arial"/>
        </w:rPr>
        <w:t>n</w:t>
      </w:r>
      <w:r w:rsidR="00E07A24" w:rsidRPr="006547E5">
        <w:rPr>
          <w:rFonts w:ascii="Arial" w:hAnsi="Arial" w:cs="Arial"/>
        </w:rPr>
        <w:t xml:space="preserve">ever </w:t>
      </w:r>
      <w:r w:rsidR="00E07A24">
        <w:rPr>
          <w:rFonts w:ascii="Arial" w:hAnsi="Arial" w:cs="Arial"/>
        </w:rPr>
        <w:t>e</w:t>
      </w:r>
      <w:r w:rsidR="00E07A24" w:rsidRPr="006547E5">
        <w:rPr>
          <w:rFonts w:ascii="Arial" w:hAnsi="Arial" w:cs="Arial"/>
        </w:rPr>
        <w:t>vents</w:t>
      </w:r>
      <w:r w:rsidRPr="006547E5">
        <w:rPr>
          <w:rFonts w:ascii="Arial" w:hAnsi="Arial" w:cs="Arial"/>
        </w:rPr>
        <w:t xml:space="preserve">, </w:t>
      </w:r>
      <w:r w:rsidR="00E07A24">
        <w:rPr>
          <w:rFonts w:ascii="Arial" w:hAnsi="Arial" w:cs="Arial"/>
        </w:rPr>
        <w:t>s</w:t>
      </w:r>
      <w:r w:rsidR="00E07A24" w:rsidRPr="006547E5">
        <w:rPr>
          <w:rFonts w:ascii="Arial" w:hAnsi="Arial" w:cs="Arial"/>
        </w:rPr>
        <w:t xml:space="preserve">erious </w:t>
      </w:r>
      <w:r w:rsidR="00E07A24">
        <w:rPr>
          <w:rFonts w:ascii="Arial" w:hAnsi="Arial" w:cs="Arial"/>
        </w:rPr>
        <w:t>i</w:t>
      </w:r>
      <w:r w:rsidR="00E07A24" w:rsidRPr="006547E5">
        <w:rPr>
          <w:rFonts w:ascii="Arial" w:hAnsi="Arial" w:cs="Arial"/>
        </w:rPr>
        <w:t>ncidents</w:t>
      </w:r>
      <w:r w:rsidRPr="006547E5">
        <w:rPr>
          <w:rFonts w:ascii="Arial" w:hAnsi="Arial" w:cs="Arial"/>
        </w:rPr>
        <w:t xml:space="preserve">, harm and no harm incidents. The trends and themes from these incidents were triangulated with complaints, patient experience, mortality, claims and inquest data and risks </w:t>
      </w:r>
    </w:p>
    <w:p w14:paraId="3355F69E" w14:textId="195F22B6" w:rsidR="006547E5" w:rsidRPr="006547E5" w:rsidRDefault="006547E5" w:rsidP="006547E5">
      <w:pPr>
        <w:rPr>
          <w:rFonts w:ascii="Arial" w:hAnsi="Arial" w:cs="Arial"/>
        </w:rPr>
      </w:pPr>
      <w:r w:rsidRPr="006547E5">
        <w:rPr>
          <w:rFonts w:ascii="Arial" w:hAnsi="Arial" w:cs="Arial"/>
        </w:rPr>
        <w:t>Data sources used:</w:t>
      </w:r>
    </w:p>
    <w:p w14:paraId="03E2E6D1" w14:textId="46C7318E" w:rsidR="006547E5" w:rsidRPr="006547E5" w:rsidRDefault="006547E5" w:rsidP="006547E5">
      <w:pPr>
        <w:pStyle w:val="ListParagraph"/>
        <w:numPr>
          <w:ilvl w:val="0"/>
          <w:numId w:val="1"/>
        </w:numPr>
        <w:rPr>
          <w:sz w:val="22"/>
        </w:rPr>
      </w:pPr>
      <w:r w:rsidRPr="006547E5">
        <w:rPr>
          <w:sz w:val="22"/>
        </w:rPr>
        <w:t>Greatix report</w:t>
      </w:r>
      <w:r w:rsidR="00381D25">
        <w:rPr>
          <w:sz w:val="22"/>
        </w:rPr>
        <w:t>s</w:t>
      </w:r>
      <w:r w:rsidRPr="006547E5">
        <w:rPr>
          <w:sz w:val="22"/>
        </w:rPr>
        <w:t xml:space="preserve"> </w:t>
      </w:r>
    </w:p>
    <w:p w14:paraId="32BD841E" w14:textId="313BBBC7" w:rsidR="006547E5" w:rsidRPr="006547E5" w:rsidRDefault="006547E5" w:rsidP="006547E5">
      <w:pPr>
        <w:pStyle w:val="ListParagraph"/>
        <w:numPr>
          <w:ilvl w:val="0"/>
          <w:numId w:val="1"/>
        </w:numPr>
        <w:rPr>
          <w:sz w:val="22"/>
        </w:rPr>
      </w:pPr>
      <w:r w:rsidRPr="006547E5">
        <w:rPr>
          <w:sz w:val="22"/>
        </w:rPr>
        <w:t xml:space="preserve">Patient </w:t>
      </w:r>
      <w:r w:rsidR="00E07A24">
        <w:rPr>
          <w:sz w:val="22"/>
        </w:rPr>
        <w:t>s</w:t>
      </w:r>
      <w:r w:rsidR="00E07A24" w:rsidRPr="006547E5">
        <w:rPr>
          <w:sz w:val="22"/>
        </w:rPr>
        <w:t xml:space="preserve">afety </w:t>
      </w:r>
      <w:r w:rsidRPr="006547E5">
        <w:rPr>
          <w:sz w:val="22"/>
        </w:rPr>
        <w:t xml:space="preserve">incidents reported on </w:t>
      </w:r>
      <w:r w:rsidR="00581915">
        <w:rPr>
          <w:sz w:val="22"/>
        </w:rPr>
        <w:t>the trust’s incident management and risk system (</w:t>
      </w:r>
      <w:r w:rsidRPr="006547E5">
        <w:rPr>
          <w:sz w:val="22"/>
        </w:rPr>
        <w:t>Datix</w:t>
      </w:r>
      <w:r w:rsidR="00581915">
        <w:rPr>
          <w:sz w:val="22"/>
        </w:rPr>
        <w:t>)</w:t>
      </w:r>
    </w:p>
    <w:p w14:paraId="72B0C5C8" w14:textId="77777777" w:rsidR="00A36D62" w:rsidRDefault="006547E5" w:rsidP="006547E5">
      <w:pPr>
        <w:pStyle w:val="ListParagraph"/>
        <w:numPr>
          <w:ilvl w:val="0"/>
          <w:numId w:val="1"/>
        </w:numPr>
        <w:rPr>
          <w:sz w:val="22"/>
        </w:rPr>
      </w:pPr>
      <w:r w:rsidRPr="006547E5">
        <w:rPr>
          <w:sz w:val="22"/>
        </w:rPr>
        <w:lastRenderedPageBreak/>
        <w:t xml:space="preserve">Serious </w:t>
      </w:r>
      <w:r w:rsidR="00E07A24">
        <w:rPr>
          <w:sz w:val="22"/>
        </w:rPr>
        <w:t>i</w:t>
      </w:r>
      <w:r w:rsidRPr="006547E5">
        <w:rPr>
          <w:sz w:val="22"/>
        </w:rPr>
        <w:t xml:space="preserve">ncidents </w:t>
      </w:r>
    </w:p>
    <w:p w14:paraId="3F3CF20D" w14:textId="5B9F9DAE" w:rsidR="006547E5" w:rsidRPr="006547E5" w:rsidRDefault="006547E5" w:rsidP="006547E5">
      <w:pPr>
        <w:pStyle w:val="ListParagraph"/>
        <w:numPr>
          <w:ilvl w:val="0"/>
          <w:numId w:val="1"/>
        </w:numPr>
        <w:rPr>
          <w:sz w:val="22"/>
        </w:rPr>
      </w:pPr>
      <w:r w:rsidRPr="006547E5">
        <w:rPr>
          <w:sz w:val="22"/>
        </w:rPr>
        <w:t xml:space="preserve">Thematic analysis of quantitative and qualitative </w:t>
      </w:r>
      <w:r w:rsidR="00E07A24">
        <w:rPr>
          <w:sz w:val="22"/>
        </w:rPr>
        <w:t>s</w:t>
      </w:r>
      <w:r w:rsidR="00E07A24" w:rsidRPr="006547E5">
        <w:rPr>
          <w:sz w:val="22"/>
        </w:rPr>
        <w:t xml:space="preserve">erious </w:t>
      </w:r>
      <w:r w:rsidR="00E07A24">
        <w:rPr>
          <w:sz w:val="22"/>
        </w:rPr>
        <w:t>i</w:t>
      </w:r>
      <w:r w:rsidRPr="006547E5">
        <w:rPr>
          <w:sz w:val="22"/>
        </w:rPr>
        <w:t xml:space="preserve">ncident data </w:t>
      </w:r>
    </w:p>
    <w:p w14:paraId="201EAB40" w14:textId="44812777" w:rsidR="006547E5" w:rsidRPr="006547E5" w:rsidRDefault="006547E5" w:rsidP="006547E5">
      <w:pPr>
        <w:pStyle w:val="ListParagraph"/>
        <w:numPr>
          <w:ilvl w:val="0"/>
          <w:numId w:val="1"/>
        </w:numPr>
        <w:rPr>
          <w:sz w:val="22"/>
        </w:rPr>
      </w:pPr>
      <w:r w:rsidRPr="006547E5">
        <w:rPr>
          <w:sz w:val="22"/>
        </w:rPr>
        <w:t xml:space="preserve">Key themes from </w:t>
      </w:r>
      <w:r w:rsidR="00E07A24">
        <w:rPr>
          <w:sz w:val="22"/>
        </w:rPr>
        <w:t>c</w:t>
      </w:r>
      <w:r w:rsidR="00E07A24" w:rsidRPr="006547E5">
        <w:rPr>
          <w:sz w:val="22"/>
        </w:rPr>
        <w:t>omplaints</w:t>
      </w:r>
      <w:r w:rsidR="00E07A24">
        <w:rPr>
          <w:sz w:val="22"/>
        </w:rPr>
        <w:t xml:space="preserve"> and patient advice and liaison service (</w:t>
      </w:r>
      <w:r w:rsidRPr="006547E5">
        <w:rPr>
          <w:sz w:val="22"/>
        </w:rPr>
        <w:t>PALS</w:t>
      </w:r>
      <w:r w:rsidR="00E07A24">
        <w:rPr>
          <w:sz w:val="22"/>
        </w:rPr>
        <w:t>)</w:t>
      </w:r>
    </w:p>
    <w:p w14:paraId="539C7783" w14:textId="36A67A29" w:rsidR="006547E5" w:rsidRPr="006547E5" w:rsidRDefault="006547E5" w:rsidP="006547E5">
      <w:pPr>
        <w:pStyle w:val="ListParagraph"/>
        <w:numPr>
          <w:ilvl w:val="0"/>
          <w:numId w:val="1"/>
        </w:numPr>
        <w:rPr>
          <w:rFonts w:ascii="Segoe UI Symbol" w:hAnsi="Segoe UI Symbol" w:cs="Segoe UI Symbol"/>
          <w:sz w:val="22"/>
        </w:rPr>
      </w:pPr>
      <w:r w:rsidRPr="006547E5">
        <w:rPr>
          <w:sz w:val="22"/>
        </w:rPr>
        <w:t xml:space="preserve">Key themes from </w:t>
      </w:r>
      <w:r w:rsidR="00E07A24">
        <w:rPr>
          <w:sz w:val="22"/>
        </w:rPr>
        <w:t>c</w:t>
      </w:r>
      <w:r w:rsidR="00E07A24" w:rsidRPr="006547E5">
        <w:rPr>
          <w:sz w:val="22"/>
        </w:rPr>
        <w:t xml:space="preserve">laims </w:t>
      </w:r>
    </w:p>
    <w:p w14:paraId="34A1BE72" w14:textId="2BA93E01" w:rsidR="006547E5" w:rsidRPr="006547E5" w:rsidRDefault="006547E5" w:rsidP="006547E5">
      <w:pPr>
        <w:pStyle w:val="ListParagraph"/>
        <w:numPr>
          <w:ilvl w:val="0"/>
          <w:numId w:val="1"/>
        </w:numPr>
        <w:rPr>
          <w:rFonts w:ascii="Segoe UI Symbol" w:hAnsi="Segoe UI Symbol" w:cs="Segoe UI Symbol"/>
          <w:sz w:val="22"/>
        </w:rPr>
      </w:pPr>
      <w:r w:rsidRPr="006547E5">
        <w:rPr>
          <w:sz w:val="22"/>
        </w:rPr>
        <w:t xml:space="preserve">Themes from </w:t>
      </w:r>
      <w:r w:rsidR="00E07A24">
        <w:rPr>
          <w:sz w:val="22"/>
        </w:rPr>
        <w:t>l</w:t>
      </w:r>
      <w:r w:rsidR="00E07A24" w:rsidRPr="006547E5">
        <w:rPr>
          <w:sz w:val="22"/>
        </w:rPr>
        <w:t xml:space="preserve">earning </w:t>
      </w:r>
      <w:r w:rsidRPr="006547E5">
        <w:rPr>
          <w:sz w:val="22"/>
        </w:rPr>
        <w:t xml:space="preserve">from </w:t>
      </w:r>
      <w:r w:rsidR="00E07A24">
        <w:rPr>
          <w:sz w:val="22"/>
        </w:rPr>
        <w:t>d</w:t>
      </w:r>
      <w:r w:rsidR="00E07A24" w:rsidRPr="006547E5">
        <w:rPr>
          <w:sz w:val="22"/>
        </w:rPr>
        <w:t xml:space="preserve">eaths </w:t>
      </w:r>
    </w:p>
    <w:p w14:paraId="06DC8607" w14:textId="16BC6E4E" w:rsidR="006A00BC" w:rsidRPr="00DD5C02" w:rsidRDefault="006547E5" w:rsidP="006A00BC">
      <w:pPr>
        <w:pStyle w:val="ListParagraph"/>
        <w:numPr>
          <w:ilvl w:val="0"/>
          <w:numId w:val="1"/>
        </w:numPr>
        <w:rPr>
          <w:sz w:val="22"/>
        </w:rPr>
      </w:pPr>
      <w:r w:rsidRPr="006547E5">
        <w:rPr>
          <w:sz w:val="22"/>
        </w:rPr>
        <w:t xml:space="preserve">Review of </w:t>
      </w:r>
      <w:r w:rsidR="00983ECB">
        <w:rPr>
          <w:sz w:val="22"/>
        </w:rPr>
        <w:t xml:space="preserve">trust wide </w:t>
      </w:r>
      <w:r w:rsidRPr="006547E5">
        <w:rPr>
          <w:sz w:val="22"/>
        </w:rPr>
        <w:t>Risk Register</w:t>
      </w:r>
    </w:p>
    <w:p w14:paraId="26A52739" w14:textId="77777777" w:rsidR="006A00BC" w:rsidRPr="006A00BC" w:rsidRDefault="006A00BC" w:rsidP="006A00BC"/>
    <w:p w14:paraId="63199F29" w14:textId="68FBCEEB" w:rsidR="00BD4CF5" w:rsidRDefault="00BD4CF5" w:rsidP="00BD08AF">
      <w:pPr>
        <w:rPr>
          <w:rFonts w:ascii="Arial" w:hAnsi="Arial" w:cs="Arial"/>
        </w:rPr>
      </w:pPr>
      <w:r>
        <w:rPr>
          <w:noProof/>
          <w:lang w:eastAsia="en-GB"/>
        </w:rPr>
        <w:drawing>
          <wp:inline distT="0" distB="0" distL="0" distR="0" wp14:anchorId="1F3E0436" wp14:editId="1F64B0C9">
            <wp:extent cx="5486400" cy="3200400"/>
            <wp:effectExtent l="0" t="0" r="0" b="0"/>
            <wp:docPr id="10083198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626276" w14:textId="2239CDE0" w:rsidR="00F1711E" w:rsidRPr="000770CF" w:rsidRDefault="00F1711E" w:rsidP="00BD08AF">
      <w:pPr>
        <w:rPr>
          <w:rFonts w:ascii="Arial" w:hAnsi="Arial" w:cs="Arial"/>
          <w:b/>
          <w:bCs/>
        </w:rPr>
      </w:pPr>
      <w:r w:rsidRPr="000770CF">
        <w:rPr>
          <w:rFonts w:ascii="Arial" w:hAnsi="Arial" w:cs="Arial"/>
          <w:b/>
          <w:bCs/>
        </w:rPr>
        <w:t>Figure1</w:t>
      </w:r>
      <w:r w:rsidR="000770CF">
        <w:rPr>
          <w:rFonts w:ascii="Arial" w:hAnsi="Arial" w:cs="Arial"/>
          <w:b/>
          <w:bCs/>
        </w:rPr>
        <w:t xml:space="preserve"> - d</w:t>
      </w:r>
      <w:r w:rsidR="00F306F1" w:rsidRPr="000770CF">
        <w:rPr>
          <w:rFonts w:ascii="Arial" w:hAnsi="Arial" w:cs="Arial"/>
          <w:b/>
          <w:bCs/>
        </w:rPr>
        <w:t>ata review</w:t>
      </w:r>
      <w:r w:rsidR="00CF67D5" w:rsidRPr="000770CF">
        <w:rPr>
          <w:rFonts w:ascii="Arial" w:hAnsi="Arial" w:cs="Arial"/>
          <w:b/>
          <w:bCs/>
        </w:rPr>
        <w:t>ed</w:t>
      </w:r>
    </w:p>
    <w:p w14:paraId="0C5CBA06" w14:textId="77777777" w:rsidR="00DD7863" w:rsidRPr="006547E5" w:rsidRDefault="00DD7863" w:rsidP="00DD7863">
      <w:pPr>
        <w:rPr>
          <w:rFonts w:ascii="Arial" w:hAnsi="Arial" w:cs="Arial"/>
        </w:rPr>
      </w:pPr>
      <w:r w:rsidRPr="006547E5">
        <w:rPr>
          <w:rFonts w:ascii="Arial" w:hAnsi="Arial" w:cs="Arial"/>
        </w:rPr>
        <w:t xml:space="preserve">*excluding falls and pressure ulcers </w:t>
      </w:r>
    </w:p>
    <w:p w14:paraId="498FBDF6" w14:textId="257D30FF" w:rsidR="00DD5C02" w:rsidRDefault="00DD4DBA" w:rsidP="006547E5">
      <w:pPr>
        <w:rPr>
          <w:rFonts w:ascii="Arial" w:hAnsi="Arial" w:cs="Arial"/>
        </w:rPr>
      </w:pPr>
      <w:r>
        <w:rPr>
          <w:rFonts w:ascii="Arial" w:hAnsi="Arial" w:cs="Arial"/>
        </w:rPr>
        <w:t xml:space="preserve">There are existing </w:t>
      </w:r>
      <w:r w:rsidR="000770CF">
        <w:rPr>
          <w:rFonts w:ascii="Arial" w:hAnsi="Arial" w:cs="Arial"/>
        </w:rPr>
        <w:t>clinical groups in Newcastle Hospitals</w:t>
      </w:r>
      <w:r>
        <w:rPr>
          <w:rFonts w:ascii="Arial" w:hAnsi="Arial" w:cs="Arial"/>
        </w:rPr>
        <w:t xml:space="preserve"> with a focus on improvement</w:t>
      </w:r>
      <w:r w:rsidR="0019084E">
        <w:rPr>
          <w:rFonts w:ascii="Arial" w:hAnsi="Arial" w:cs="Arial"/>
        </w:rPr>
        <w:t xml:space="preserve"> including;</w:t>
      </w:r>
    </w:p>
    <w:p w14:paraId="1503B78E" w14:textId="234AF9EE" w:rsidR="0019084E" w:rsidRPr="0019084E" w:rsidRDefault="00381D25" w:rsidP="0019084E">
      <w:pPr>
        <w:pStyle w:val="ListParagraph"/>
        <w:numPr>
          <w:ilvl w:val="0"/>
          <w:numId w:val="18"/>
        </w:numPr>
        <w:rPr>
          <w:sz w:val="22"/>
        </w:rPr>
      </w:pPr>
      <w:r>
        <w:rPr>
          <w:sz w:val="22"/>
        </w:rPr>
        <w:t xml:space="preserve">Harm </w:t>
      </w:r>
      <w:r w:rsidR="00CE7DF3">
        <w:rPr>
          <w:sz w:val="22"/>
        </w:rPr>
        <w:t xml:space="preserve">free </w:t>
      </w:r>
      <w:r>
        <w:rPr>
          <w:sz w:val="22"/>
        </w:rPr>
        <w:t>care (</w:t>
      </w:r>
      <w:r w:rsidR="00CE7DF3">
        <w:rPr>
          <w:sz w:val="22"/>
        </w:rPr>
        <w:t>f</w:t>
      </w:r>
      <w:r w:rsidR="00CE7DF3" w:rsidRPr="0019084E">
        <w:rPr>
          <w:sz w:val="22"/>
        </w:rPr>
        <w:t>alls</w:t>
      </w:r>
      <w:r w:rsidR="00CE7DF3">
        <w:rPr>
          <w:sz w:val="22"/>
        </w:rPr>
        <w:t xml:space="preserve"> </w:t>
      </w:r>
      <w:r>
        <w:rPr>
          <w:sz w:val="22"/>
        </w:rPr>
        <w:t xml:space="preserve">and </w:t>
      </w:r>
      <w:r w:rsidR="00CE7DF3">
        <w:rPr>
          <w:sz w:val="22"/>
        </w:rPr>
        <w:t>pressure ulcers</w:t>
      </w:r>
      <w:r>
        <w:rPr>
          <w:sz w:val="22"/>
        </w:rPr>
        <w:t>)</w:t>
      </w:r>
    </w:p>
    <w:p w14:paraId="18800E02" w14:textId="3905FD65" w:rsidR="0019084E" w:rsidRDefault="0019084E" w:rsidP="0019084E">
      <w:pPr>
        <w:pStyle w:val="ListParagraph"/>
        <w:numPr>
          <w:ilvl w:val="0"/>
          <w:numId w:val="18"/>
        </w:numPr>
        <w:rPr>
          <w:sz w:val="22"/>
        </w:rPr>
      </w:pPr>
      <w:r w:rsidRPr="0019084E">
        <w:rPr>
          <w:sz w:val="22"/>
        </w:rPr>
        <w:t>Maternity</w:t>
      </w:r>
    </w:p>
    <w:p w14:paraId="36B6CBE2" w14:textId="0E62E167" w:rsidR="00381D25" w:rsidRDefault="00381D25" w:rsidP="0019084E">
      <w:pPr>
        <w:pStyle w:val="ListParagraph"/>
        <w:numPr>
          <w:ilvl w:val="0"/>
          <w:numId w:val="18"/>
        </w:numPr>
        <w:rPr>
          <w:sz w:val="22"/>
        </w:rPr>
      </w:pPr>
      <w:r>
        <w:rPr>
          <w:sz w:val="22"/>
        </w:rPr>
        <w:t xml:space="preserve">Infection </w:t>
      </w:r>
      <w:r w:rsidR="00CE7DF3">
        <w:rPr>
          <w:sz w:val="22"/>
        </w:rPr>
        <w:t>control</w:t>
      </w:r>
    </w:p>
    <w:p w14:paraId="3BB767FC" w14:textId="74817113" w:rsidR="0019084E" w:rsidRDefault="0019084E" w:rsidP="0019084E">
      <w:pPr>
        <w:rPr>
          <w:rFonts w:ascii="Arial" w:hAnsi="Arial" w:cs="Arial"/>
        </w:rPr>
      </w:pPr>
      <w:r w:rsidRPr="0019084E">
        <w:rPr>
          <w:rFonts w:ascii="Arial" w:hAnsi="Arial" w:cs="Arial"/>
        </w:rPr>
        <w:t xml:space="preserve">In order to maximise the </w:t>
      </w:r>
      <w:r w:rsidR="00381D25">
        <w:rPr>
          <w:rFonts w:ascii="Arial" w:hAnsi="Arial" w:cs="Arial"/>
        </w:rPr>
        <w:t>Trust</w:t>
      </w:r>
      <w:r w:rsidR="000770CF">
        <w:rPr>
          <w:rFonts w:ascii="Arial" w:hAnsi="Arial" w:cs="Arial"/>
        </w:rPr>
        <w:t>-</w:t>
      </w:r>
      <w:r w:rsidR="00381D25">
        <w:rPr>
          <w:rFonts w:ascii="Arial" w:hAnsi="Arial" w:cs="Arial"/>
        </w:rPr>
        <w:t xml:space="preserve">wide </w:t>
      </w:r>
      <w:r w:rsidRPr="0019084E">
        <w:rPr>
          <w:rFonts w:ascii="Arial" w:hAnsi="Arial" w:cs="Arial"/>
        </w:rPr>
        <w:t xml:space="preserve">benefits </w:t>
      </w:r>
      <w:r>
        <w:rPr>
          <w:rFonts w:ascii="Arial" w:hAnsi="Arial" w:cs="Arial"/>
        </w:rPr>
        <w:t xml:space="preserve">of PSIRF, these existing areas with an </w:t>
      </w:r>
      <w:r w:rsidR="000770CF">
        <w:rPr>
          <w:rFonts w:ascii="Arial" w:hAnsi="Arial" w:cs="Arial"/>
        </w:rPr>
        <w:t xml:space="preserve">existing </w:t>
      </w:r>
      <w:r>
        <w:rPr>
          <w:rFonts w:ascii="Arial" w:hAnsi="Arial" w:cs="Arial"/>
        </w:rPr>
        <w:t xml:space="preserve">improvement focus were not selected as </w:t>
      </w:r>
      <w:r w:rsidR="00381D25">
        <w:rPr>
          <w:rFonts w:ascii="Arial" w:hAnsi="Arial" w:cs="Arial"/>
        </w:rPr>
        <w:t xml:space="preserve">initial </w:t>
      </w:r>
      <w:r>
        <w:rPr>
          <w:rFonts w:ascii="Arial" w:hAnsi="Arial" w:cs="Arial"/>
        </w:rPr>
        <w:t>priorities.</w:t>
      </w:r>
    </w:p>
    <w:p w14:paraId="0B25D49B" w14:textId="2C88288E" w:rsidR="006547E5" w:rsidRPr="000770CF" w:rsidRDefault="003B6F8A" w:rsidP="006547E5">
      <w:pPr>
        <w:rPr>
          <w:rFonts w:ascii="Arial" w:hAnsi="Arial" w:cs="Arial"/>
          <w:b/>
          <w:bCs/>
          <w:sz w:val="24"/>
          <w:szCs w:val="24"/>
        </w:rPr>
      </w:pPr>
      <w:r w:rsidRPr="000770CF">
        <w:rPr>
          <w:rFonts w:ascii="Arial" w:hAnsi="Arial" w:cs="Arial"/>
          <w:b/>
          <w:bCs/>
          <w:sz w:val="24"/>
          <w:szCs w:val="24"/>
        </w:rPr>
        <w:t xml:space="preserve">6.2 </w:t>
      </w:r>
      <w:r w:rsidR="006547E5" w:rsidRPr="000770CF">
        <w:rPr>
          <w:rFonts w:ascii="Arial" w:hAnsi="Arial" w:cs="Arial"/>
          <w:b/>
          <w:bCs/>
          <w:sz w:val="24"/>
          <w:szCs w:val="24"/>
        </w:rPr>
        <w:t xml:space="preserve">Themes and justification for improvement priorities </w:t>
      </w:r>
    </w:p>
    <w:p w14:paraId="13CB9730" w14:textId="7E031CF3" w:rsidR="00DD4DBA" w:rsidRPr="000770CF" w:rsidRDefault="006547E5" w:rsidP="006547E5">
      <w:pPr>
        <w:rPr>
          <w:rFonts w:ascii="Arial" w:hAnsi="Arial" w:cs="Arial"/>
        </w:rPr>
      </w:pPr>
      <w:r w:rsidRPr="000770CF">
        <w:rPr>
          <w:rFonts w:ascii="Arial" w:hAnsi="Arial" w:cs="Arial"/>
        </w:rPr>
        <w:t>Through the review and the thematic analysis of our data, we have identified the following Trust Priority Incidents that we will focus on for the next 12-18 months.</w:t>
      </w:r>
    </w:p>
    <w:tbl>
      <w:tblPr>
        <w:tblStyle w:val="TableGrid"/>
        <w:tblW w:w="9351" w:type="dxa"/>
        <w:tblLayout w:type="fixed"/>
        <w:tblLook w:val="04A0" w:firstRow="1" w:lastRow="0" w:firstColumn="1" w:lastColumn="0" w:noHBand="0" w:noVBand="1"/>
      </w:tblPr>
      <w:tblGrid>
        <w:gridCol w:w="2405"/>
        <w:gridCol w:w="2835"/>
        <w:gridCol w:w="1985"/>
        <w:gridCol w:w="2126"/>
      </w:tblGrid>
      <w:tr w:rsidR="006547E5" w:rsidRPr="000770CF" w14:paraId="190DF877" w14:textId="77777777" w:rsidTr="000770CF">
        <w:tc>
          <w:tcPr>
            <w:tcW w:w="2405" w:type="dxa"/>
            <w:shd w:val="clear" w:color="auto" w:fill="BFBFBF" w:themeFill="background1" w:themeFillShade="BF"/>
          </w:tcPr>
          <w:p w14:paraId="0FD44A6B" w14:textId="77777777" w:rsidR="006547E5" w:rsidRPr="000770CF" w:rsidRDefault="006547E5" w:rsidP="00070152">
            <w:pPr>
              <w:rPr>
                <w:rFonts w:ascii="Arial" w:hAnsi="Arial" w:cs="Arial"/>
                <w:b/>
                <w:bCs/>
              </w:rPr>
            </w:pPr>
            <w:bookmarkStart w:id="0" w:name="_Hlk147489553"/>
            <w:r w:rsidRPr="000770CF">
              <w:rPr>
                <w:rFonts w:ascii="Arial" w:hAnsi="Arial" w:cs="Arial"/>
                <w:b/>
                <w:bCs/>
              </w:rPr>
              <w:t xml:space="preserve">Trust priority incidents </w:t>
            </w:r>
          </w:p>
        </w:tc>
        <w:tc>
          <w:tcPr>
            <w:tcW w:w="2835" w:type="dxa"/>
            <w:shd w:val="clear" w:color="auto" w:fill="BFBFBF" w:themeFill="background1" w:themeFillShade="BF"/>
          </w:tcPr>
          <w:p w14:paraId="5E379175" w14:textId="77777777" w:rsidR="006547E5" w:rsidRPr="000770CF" w:rsidRDefault="006547E5" w:rsidP="00070152">
            <w:pPr>
              <w:rPr>
                <w:rFonts w:ascii="Arial" w:hAnsi="Arial" w:cs="Arial"/>
                <w:b/>
                <w:bCs/>
              </w:rPr>
            </w:pPr>
            <w:r w:rsidRPr="000770CF">
              <w:rPr>
                <w:rFonts w:ascii="Arial" w:hAnsi="Arial" w:cs="Arial"/>
                <w:b/>
                <w:bCs/>
              </w:rPr>
              <w:t xml:space="preserve">Rationale </w:t>
            </w:r>
          </w:p>
        </w:tc>
        <w:tc>
          <w:tcPr>
            <w:tcW w:w="1985" w:type="dxa"/>
            <w:shd w:val="clear" w:color="auto" w:fill="BFBFBF" w:themeFill="background1" w:themeFillShade="BF"/>
          </w:tcPr>
          <w:p w14:paraId="14D42440" w14:textId="35FB453B" w:rsidR="006547E5" w:rsidRPr="000770CF" w:rsidRDefault="00686D6A" w:rsidP="00070152">
            <w:pPr>
              <w:rPr>
                <w:rFonts w:ascii="Arial" w:hAnsi="Arial" w:cs="Arial"/>
                <w:b/>
                <w:bCs/>
              </w:rPr>
            </w:pPr>
            <w:r w:rsidRPr="000770CF">
              <w:rPr>
                <w:rFonts w:ascii="Arial" w:hAnsi="Arial" w:cs="Arial"/>
                <w:b/>
                <w:bCs/>
              </w:rPr>
              <w:t>Key Actions</w:t>
            </w:r>
            <w:r w:rsidR="006547E5" w:rsidRPr="000770CF">
              <w:rPr>
                <w:rFonts w:ascii="Arial" w:hAnsi="Arial" w:cs="Arial"/>
                <w:b/>
                <w:bCs/>
              </w:rPr>
              <w:t xml:space="preserve"> </w:t>
            </w:r>
          </w:p>
        </w:tc>
        <w:tc>
          <w:tcPr>
            <w:tcW w:w="2126" w:type="dxa"/>
            <w:shd w:val="clear" w:color="auto" w:fill="BFBFBF" w:themeFill="background1" w:themeFillShade="BF"/>
          </w:tcPr>
          <w:p w14:paraId="297F708F" w14:textId="77777777" w:rsidR="006547E5" w:rsidRPr="000770CF" w:rsidRDefault="006547E5" w:rsidP="00070152">
            <w:pPr>
              <w:rPr>
                <w:rFonts w:ascii="Arial" w:hAnsi="Arial" w:cs="Arial"/>
                <w:b/>
                <w:bCs/>
              </w:rPr>
            </w:pPr>
            <w:r w:rsidRPr="000770CF">
              <w:rPr>
                <w:rFonts w:ascii="Arial" w:hAnsi="Arial" w:cs="Arial"/>
                <w:b/>
                <w:bCs/>
              </w:rPr>
              <w:t xml:space="preserve">Oversight Committee/Group </w:t>
            </w:r>
          </w:p>
        </w:tc>
      </w:tr>
      <w:tr w:rsidR="006547E5" w:rsidRPr="000770CF" w14:paraId="48C932F9" w14:textId="77777777" w:rsidTr="000770CF">
        <w:tc>
          <w:tcPr>
            <w:tcW w:w="2405" w:type="dxa"/>
          </w:tcPr>
          <w:p w14:paraId="4801B0E4" w14:textId="1058DC00" w:rsidR="006547E5" w:rsidRPr="000770CF" w:rsidRDefault="00322EB0" w:rsidP="00070152">
            <w:pPr>
              <w:rPr>
                <w:rFonts w:ascii="Arial" w:hAnsi="Arial" w:cs="Arial"/>
              </w:rPr>
            </w:pPr>
            <w:r w:rsidRPr="000770CF">
              <w:rPr>
                <w:rFonts w:ascii="Arial" w:hAnsi="Arial" w:cs="Arial"/>
                <w:b/>
                <w:bCs/>
              </w:rPr>
              <w:t xml:space="preserve">Diagnostic </w:t>
            </w:r>
            <w:r w:rsidR="000770CF">
              <w:rPr>
                <w:rFonts w:ascii="Arial" w:hAnsi="Arial" w:cs="Arial"/>
                <w:b/>
                <w:bCs/>
              </w:rPr>
              <w:t>r</w:t>
            </w:r>
            <w:r w:rsidRPr="000770CF">
              <w:rPr>
                <w:rFonts w:ascii="Arial" w:hAnsi="Arial" w:cs="Arial"/>
                <w:b/>
                <w:bCs/>
              </w:rPr>
              <w:t>esults</w:t>
            </w:r>
            <w:r w:rsidRPr="000770CF">
              <w:rPr>
                <w:rFonts w:ascii="Arial" w:hAnsi="Arial" w:cs="Arial"/>
              </w:rPr>
              <w:t xml:space="preserve">: </w:t>
            </w:r>
            <w:r w:rsidR="006547E5" w:rsidRPr="000770CF">
              <w:rPr>
                <w:rFonts w:ascii="Arial" w:hAnsi="Arial" w:cs="Arial"/>
              </w:rPr>
              <w:t xml:space="preserve">Reported Incidents about action on abnormal results from </w:t>
            </w:r>
            <w:r w:rsidR="006547E5" w:rsidRPr="000770CF">
              <w:rPr>
                <w:rFonts w:ascii="Arial" w:hAnsi="Arial" w:cs="Arial"/>
              </w:rPr>
              <w:lastRenderedPageBreak/>
              <w:t>Radiology by clinicians</w:t>
            </w:r>
          </w:p>
          <w:p w14:paraId="03EBF57F" w14:textId="77777777" w:rsidR="006547E5" w:rsidRPr="000770CF" w:rsidRDefault="006547E5" w:rsidP="00070152">
            <w:pPr>
              <w:rPr>
                <w:rFonts w:ascii="Arial" w:hAnsi="Arial" w:cs="Arial"/>
              </w:rPr>
            </w:pPr>
          </w:p>
          <w:p w14:paraId="0E35B460" w14:textId="77777777" w:rsidR="006547E5" w:rsidRPr="000770CF" w:rsidRDefault="006547E5" w:rsidP="00070152">
            <w:pPr>
              <w:rPr>
                <w:rFonts w:ascii="Arial" w:hAnsi="Arial" w:cs="Arial"/>
              </w:rPr>
            </w:pPr>
          </w:p>
          <w:p w14:paraId="3D5572EF" w14:textId="77777777" w:rsidR="006547E5" w:rsidRPr="000770CF" w:rsidRDefault="006547E5" w:rsidP="00070152">
            <w:pPr>
              <w:rPr>
                <w:rFonts w:ascii="Arial" w:hAnsi="Arial" w:cs="Arial"/>
              </w:rPr>
            </w:pPr>
          </w:p>
        </w:tc>
        <w:tc>
          <w:tcPr>
            <w:tcW w:w="2835" w:type="dxa"/>
          </w:tcPr>
          <w:p w14:paraId="12270D2C" w14:textId="77777777" w:rsidR="006547E5" w:rsidRPr="000770CF" w:rsidRDefault="006547E5" w:rsidP="00070152">
            <w:pPr>
              <w:rPr>
                <w:rFonts w:ascii="Arial" w:hAnsi="Arial" w:cs="Arial"/>
              </w:rPr>
            </w:pPr>
            <w:r w:rsidRPr="000770CF">
              <w:rPr>
                <w:rFonts w:ascii="Arial" w:hAnsi="Arial" w:cs="Arial"/>
              </w:rPr>
              <w:lastRenderedPageBreak/>
              <w:t>Most common theme for SI.</w:t>
            </w:r>
          </w:p>
          <w:p w14:paraId="7F311C5C" w14:textId="77777777" w:rsidR="006547E5" w:rsidRPr="000770CF" w:rsidRDefault="006547E5" w:rsidP="00070152">
            <w:pPr>
              <w:rPr>
                <w:rFonts w:ascii="Arial" w:hAnsi="Arial" w:cs="Arial"/>
              </w:rPr>
            </w:pPr>
            <w:r w:rsidRPr="000770CF">
              <w:rPr>
                <w:rFonts w:ascii="Arial" w:hAnsi="Arial" w:cs="Arial"/>
              </w:rPr>
              <w:lastRenderedPageBreak/>
              <w:t>Contributory factor in litigation: delay in diagnosis/treatment,</w:t>
            </w:r>
          </w:p>
          <w:p w14:paraId="1A19EB49" w14:textId="77777777" w:rsidR="006547E5" w:rsidRPr="000770CF" w:rsidRDefault="006547E5" w:rsidP="00070152">
            <w:pPr>
              <w:rPr>
                <w:rFonts w:ascii="Arial" w:hAnsi="Arial" w:cs="Arial"/>
              </w:rPr>
            </w:pPr>
            <w:r w:rsidRPr="000770CF">
              <w:rPr>
                <w:rFonts w:ascii="Arial" w:hAnsi="Arial" w:cs="Arial"/>
              </w:rPr>
              <w:t>failure to act.</w:t>
            </w:r>
          </w:p>
          <w:p w14:paraId="60E4BE17" w14:textId="77777777" w:rsidR="00AC5336" w:rsidRPr="000770CF" w:rsidRDefault="00AC5336" w:rsidP="00070152">
            <w:pPr>
              <w:rPr>
                <w:rFonts w:ascii="Arial" w:hAnsi="Arial" w:cs="Arial"/>
              </w:rPr>
            </w:pPr>
          </w:p>
          <w:p w14:paraId="6F641EB7" w14:textId="08654591" w:rsidR="006547E5" w:rsidRPr="000770CF" w:rsidRDefault="006547E5" w:rsidP="00070152">
            <w:pPr>
              <w:rPr>
                <w:rFonts w:ascii="Arial" w:hAnsi="Arial" w:cs="Arial"/>
              </w:rPr>
            </w:pPr>
            <w:r w:rsidRPr="000770CF">
              <w:rPr>
                <w:rFonts w:ascii="Arial" w:hAnsi="Arial" w:cs="Arial"/>
              </w:rPr>
              <w:t xml:space="preserve">Multifactorial issues across a number of Boards, with </w:t>
            </w:r>
            <w:r w:rsidR="00770B9D" w:rsidRPr="000770CF">
              <w:rPr>
                <w:rFonts w:ascii="Arial" w:hAnsi="Arial" w:cs="Arial"/>
              </w:rPr>
              <w:t>identified</w:t>
            </w:r>
            <w:r w:rsidRPr="000770CF">
              <w:rPr>
                <w:rFonts w:ascii="Arial" w:hAnsi="Arial" w:cs="Arial"/>
              </w:rPr>
              <w:t xml:space="preserve"> risks </w:t>
            </w:r>
            <w:r w:rsidR="00770B9D" w:rsidRPr="000770CF">
              <w:rPr>
                <w:rFonts w:ascii="Arial" w:hAnsi="Arial" w:cs="Arial"/>
              </w:rPr>
              <w:t xml:space="preserve">documented </w:t>
            </w:r>
            <w:r w:rsidRPr="000770CF">
              <w:rPr>
                <w:rFonts w:ascii="Arial" w:hAnsi="Arial" w:cs="Arial"/>
              </w:rPr>
              <w:t>in Radiology (risk rated 16).</w:t>
            </w:r>
          </w:p>
          <w:p w14:paraId="3A9735A2" w14:textId="77777777" w:rsidR="006547E5" w:rsidRPr="000770CF" w:rsidRDefault="006547E5" w:rsidP="00070152">
            <w:pPr>
              <w:rPr>
                <w:rFonts w:ascii="Arial" w:hAnsi="Arial" w:cs="Arial"/>
              </w:rPr>
            </w:pPr>
          </w:p>
        </w:tc>
        <w:tc>
          <w:tcPr>
            <w:tcW w:w="1985" w:type="dxa"/>
          </w:tcPr>
          <w:p w14:paraId="7F7A50F3" w14:textId="20E6FF45" w:rsidR="00DD5C02" w:rsidRPr="000770CF" w:rsidRDefault="00DD5C02" w:rsidP="00070152">
            <w:pPr>
              <w:rPr>
                <w:rFonts w:ascii="Arial" w:hAnsi="Arial" w:cs="Arial"/>
              </w:rPr>
            </w:pPr>
            <w:r w:rsidRPr="000770CF">
              <w:rPr>
                <w:rFonts w:ascii="Arial" w:hAnsi="Arial" w:cs="Arial"/>
              </w:rPr>
              <w:lastRenderedPageBreak/>
              <w:t>Priority leads for improvement will be identified</w:t>
            </w:r>
            <w:r w:rsidR="00686D6A" w:rsidRPr="000770CF">
              <w:rPr>
                <w:rFonts w:ascii="Arial" w:hAnsi="Arial" w:cs="Arial"/>
              </w:rPr>
              <w:t xml:space="preserve"> and clear aims </w:t>
            </w:r>
            <w:r w:rsidR="00686D6A" w:rsidRPr="000770CF">
              <w:rPr>
                <w:rFonts w:ascii="Arial" w:hAnsi="Arial" w:cs="Arial"/>
              </w:rPr>
              <w:lastRenderedPageBreak/>
              <w:t>statement developed.</w:t>
            </w:r>
          </w:p>
          <w:p w14:paraId="77740A4A" w14:textId="77777777" w:rsidR="00DD5C02" w:rsidRPr="000770CF" w:rsidRDefault="00DD5C02" w:rsidP="00070152">
            <w:pPr>
              <w:rPr>
                <w:rFonts w:ascii="Arial" w:hAnsi="Arial" w:cs="Arial"/>
              </w:rPr>
            </w:pPr>
          </w:p>
          <w:p w14:paraId="55F16DAE" w14:textId="77547E33" w:rsidR="006547E5" w:rsidRPr="000770CF" w:rsidRDefault="006547E5" w:rsidP="00070152">
            <w:pPr>
              <w:rPr>
                <w:rFonts w:ascii="Arial" w:hAnsi="Arial" w:cs="Arial"/>
              </w:rPr>
            </w:pPr>
            <w:r w:rsidRPr="000770CF">
              <w:rPr>
                <w:rFonts w:ascii="Arial" w:hAnsi="Arial" w:cs="Arial"/>
              </w:rPr>
              <w:t xml:space="preserve">Improvement workstreams required </w:t>
            </w:r>
          </w:p>
          <w:p w14:paraId="2A098048" w14:textId="77777777" w:rsidR="006547E5" w:rsidRPr="000770CF" w:rsidRDefault="006547E5" w:rsidP="00AC5336">
            <w:pPr>
              <w:pStyle w:val="ListParagraph"/>
              <w:numPr>
                <w:ilvl w:val="0"/>
                <w:numId w:val="11"/>
              </w:numPr>
              <w:rPr>
                <w:sz w:val="22"/>
              </w:rPr>
            </w:pPr>
            <w:r w:rsidRPr="000770CF">
              <w:rPr>
                <w:sz w:val="22"/>
              </w:rPr>
              <w:t xml:space="preserve">E-record </w:t>
            </w:r>
          </w:p>
        </w:tc>
        <w:tc>
          <w:tcPr>
            <w:tcW w:w="2126" w:type="dxa"/>
          </w:tcPr>
          <w:p w14:paraId="498B1C5A" w14:textId="77777777" w:rsidR="006547E5" w:rsidRPr="000770CF" w:rsidRDefault="006547E5" w:rsidP="00070152">
            <w:pPr>
              <w:rPr>
                <w:rFonts w:ascii="Arial" w:hAnsi="Arial" w:cs="Arial"/>
              </w:rPr>
            </w:pPr>
            <w:r w:rsidRPr="000770CF">
              <w:rPr>
                <w:rFonts w:ascii="Arial" w:hAnsi="Arial" w:cs="Arial"/>
              </w:rPr>
              <w:lastRenderedPageBreak/>
              <w:t xml:space="preserve">Patient Safety Group </w:t>
            </w:r>
          </w:p>
          <w:p w14:paraId="78CB8C7F" w14:textId="77777777" w:rsidR="006547E5" w:rsidRPr="000770CF" w:rsidRDefault="006547E5" w:rsidP="00070152">
            <w:pPr>
              <w:rPr>
                <w:rFonts w:ascii="Arial" w:hAnsi="Arial" w:cs="Arial"/>
              </w:rPr>
            </w:pPr>
          </w:p>
          <w:p w14:paraId="33D9E23E" w14:textId="0C86592E" w:rsidR="006547E5" w:rsidRPr="000770CF" w:rsidRDefault="006547E5" w:rsidP="00070152">
            <w:pPr>
              <w:rPr>
                <w:rFonts w:ascii="Arial" w:hAnsi="Arial" w:cs="Arial"/>
              </w:rPr>
            </w:pPr>
            <w:r w:rsidRPr="000770CF">
              <w:rPr>
                <w:rFonts w:ascii="Arial" w:hAnsi="Arial" w:cs="Arial"/>
              </w:rPr>
              <w:t>Senior Team</w:t>
            </w:r>
            <w:r w:rsidR="0070527C" w:rsidRPr="000770CF">
              <w:rPr>
                <w:rFonts w:ascii="Arial" w:hAnsi="Arial" w:cs="Arial"/>
              </w:rPr>
              <w:t>*</w:t>
            </w:r>
            <w:r w:rsidRPr="000770CF">
              <w:rPr>
                <w:rFonts w:ascii="Arial" w:hAnsi="Arial" w:cs="Arial"/>
              </w:rPr>
              <w:t xml:space="preserve"> </w:t>
            </w:r>
          </w:p>
        </w:tc>
      </w:tr>
      <w:tr w:rsidR="006547E5" w14:paraId="15B0EF55" w14:textId="77777777" w:rsidTr="000770CF">
        <w:tc>
          <w:tcPr>
            <w:tcW w:w="2405" w:type="dxa"/>
          </w:tcPr>
          <w:p w14:paraId="69B55B1D" w14:textId="1F66F949" w:rsidR="006547E5" w:rsidRPr="000770CF" w:rsidRDefault="00322EB0" w:rsidP="00070152">
            <w:pPr>
              <w:rPr>
                <w:rFonts w:ascii="Arial" w:hAnsi="Arial" w:cs="Arial"/>
              </w:rPr>
            </w:pPr>
            <w:r w:rsidRPr="000770CF">
              <w:rPr>
                <w:rFonts w:ascii="Arial" w:hAnsi="Arial" w:cs="Arial"/>
                <w:b/>
                <w:bCs/>
              </w:rPr>
              <w:t>Lost to follow up:</w:t>
            </w:r>
            <w:r w:rsidRPr="000770CF">
              <w:rPr>
                <w:rFonts w:ascii="Arial" w:hAnsi="Arial" w:cs="Arial"/>
              </w:rPr>
              <w:t xml:space="preserve"> </w:t>
            </w:r>
            <w:r w:rsidR="006547E5" w:rsidRPr="000770CF">
              <w:rPr>
                <w:rFonts w:ascii="Arial" w:hAnsi="Arial" w:cs="Arial"/>
              </w:rPr>
              <w:t>Reported Incidents from systemic failure to refer and or act on follow up/referral from internal request</w:t>
            </w:r>
          </w:p>
        </w:tc>
        <w:tc>
          <w:tcPr>
            <w:tcW w:w="2835" w:type="dxa"/>
          </w:tcPr>
          <w:p w14:paraId="6D754D83" w14:textId="77777777" w:rsidR="006547E5" w:rsidRPr="000770CF" w:rsidRDefault="006547E5" w:rsidP="00070152">
            <w:pPr>
              <w:rPr>
                <w:rFonts w:ascii="Arial" w:hAnsi="Arial" w:cs="Arial"/>
              </w:rPr>
            </w:pPr>
            <w:r w:rsidRPr="000770CF">
              <w:rPr>
                <w:rFonts w:ascii="Arial" w:hAnsi="Arial" w:cs="Arial"/>
              </w:rPr>
              <w:t>Very common theme for SI.</w:t>
            </w:r>
          </w:p>
          <w:p w14:paraId="4757C389" w14:textId="3A536817" w:rsidR="006547E5" w:rsidRPr="000770CF" w:rsidRDefault="006547E5" w:rsidP="00070152">
            <w:pPr>
              <w:rPr>
                <w:rFonts w:ascii="Arial" w:hAnsi="Arial" w:cs="Arial"/>
              </w:rPr>
            </w:pPr>
            <w:r w:rsidRPr="000770CF">
              <w:rPr>
                <w:rFonts w:ascii="Arial" w:hAnsi="Arial" w:cs="Arial"/>
              </w:rPr>
              <w:t>Contributory factor in</w:t>
            </w:r>
            <w:r w:rsidR="00DD5C02" w:rsidRPr="000770CF">
              <w:rPr>
                <w:rFonts w:ascii="Arial" w:hAnsi="Arial" w:cs="Arial"/>
              </w:rPr>
              <w:t xml:space="preserve"> </w:t>
            </w:r>
            <w:r w:rsidRPr="000770CF">
              <w:rPr>
                <w:rFonts w:ascii="Arial" w:hAnsi="Arial" w:cs="Arial"/>
              </w:rPr>
              <w:t>litigation: delay in diagnosis/treatment,</w:t>
            </w:r>
            <w:r w:rsidR="00A900B7" w:rsidRPr="000770CF">
              <w:rPr>
                <w:rFonts w:ascii="Arial" w:hAnsi="Arial" w:cs="Arial"/>
              </w:rPr>
              <w:t xml:space="preserve"> </w:t>
            </w:r>
            <w:r w:rsidRPr="000770CF">
              <w:rPr>
                <w:rFonts w:ascii="Arial" w:hAnsi="Arial" w:cs="Arial"/>
              </w:rPr>
              <w:t>failure to act.</w:t>
            </w:r>
          </w:p>
          <w:p w14:paraId="0CF54354" w14:textId="434BA096" w:rsidR="006547E5" w:rsidRPr="000770CF" w:rsidRDefault="006547E5" w:rsidP="00070152">
            <w:pPr>
              <w:rPr>
                <w:rFonts w:ascii="Arial" w:hAnsi="Arial" w:cs="Arial"/>
              </w:rPr>
            </w:pPr>
            <w:r w:rsidRPr="000770CF">
              <w:rPr>
                <w:rFonts w:ascii="Arial" w:hAnsi="Arial" w:cs="Arial"/>
              </w:rPr>
              <w:t xml:space="preserve">Multifactorial issues across a number of </w:t>
            </w:r>
            <w:r w:rsidR="00DD5C02" w:rsidRPr="000770CF">
              <w:rPr>
                <w:rFonts w:ascii="Arial" w:hAnsi="Arial" w:cs="Arial"/>
              </w:rPr>
              <w:t xml:space="preserve">specialities within </w:t>
            </w:r>
            <w:r w:rsidRPr="000770CF">
              <w:rPr>
                <w:rFonts w:ascii="Arial" w:hAnsi="Arial" w:cs="Arial"/>
              </w:rPr>
              <w:t>Boards including Ophthalmology and Cancer</w:t>
            </w:r>
            <w:r w:rsidR="00E5435E" w:rsidRPr="000770CF">
              <w:rPr>
                <w:rFonts w:ascii="Arial" w:hAnsi="Arial" w:cs="Arial"/>
              </w:rPr>
              <w:t xml:space="preserve"> (risks rated as 12)</w:t>
            </w:r>
            <w:r w:rsidR="00DD5C02" w:rsidRPr="000770CF">
              <w:rPr>
                <w:rFonts w:ascii="Arial" w:hAnsi="Arial" w:cs="Arial"/>
              </w:rPr>
              <w:t>.</w:t>
            </w:r>
          </w:p>
        </w:tc>
        <w:tc>
          <w:tcPr>
            <w:tcW w:w="1985" w:type="dxa"/>
          </w:tcPr>
          <w:p w14:paraId="3BFA75CA" w14:textId="77777777" w:rsidR="00686D6A" w:rsidRPr="000770CF" w:rsidRDefault="00686D6A" w:rsidP="00686D6A">
            <w:pPr>
              <w:rPr>
                <w:rFonts w:ascii="Arial" w:hAnsi="Arial" w:cs="Arial"/>
              </w:rPr>
            </w:pPr>
            <w:r w:rsidRPr="000770CF">
              <w:rPr>
                <w:rFonts w:ascii="Arial" w:hAnsi="Arial" w:cs="Arial"/>
              </w:rPr>
              <w:t>Priority leads for improvement will be identified and clear aims statement developed.</w:t>
            </w:r>
          </w:p>
          <w:p w14:paraId="0873580D" w14:textId="77777777" w:rsidR="00DD5C02" w:rsidRPr="000770CF" w:rsidRDefault="00DD5C02" w:rsidP="00070152">
            <w:pPr>
              <w:rPr>
                <w:rFonts w:ascii="Arial" w:hAnsi="Arial" w:cs="Arial"/>
              </w:rPr>
            </w:pPr>
          </w:p>
          <w:p w14:paraId="382497DA" w14:textId="036302E9" w:rsidR="006547E5" w:rsidRPr="000770CF" w:rsidRDefault="006547E5" w:rsidP="00070152">
            <w:pPr>
              <w:rPr>
                <w:rFonts w:ascii="Arial" w:hAnsi="Arial" w:cs="Arial"/>
              </w:rPr>
            </w:pPr>
            <w:r w:rsidRPr="000770CF">
              <w:rPr>
                <w:rFonts w:ascii="Arial" w:hAnsi="Arial" w:cs="Arial"/>
              </w:rPr>
              <w:t xml:space="preserve">Improvement workstreams required </w:t>
            </w:r>
          </w:p>
          <w:p w14:paraId="2014C410" w14:textId="66D7D53A" w:rsidR="00DD5C02" w:rsidRPr="000770CF" w:rsidRDefault="00DD5C02" w:rsidP="00322EB0">
            <w:pPr>
              <w:pStyle w:val="ListParagraph"/>
              <w:numPr>
                <w:ilvl w:val="0"/>
                <w:numId w:val="10"/>
              </w:numPr>
              <w:rPr>
                <w:sz w:val="22"/>
              </w:rPr>
            </w:pPr>
            <w:r w:rsidRPr="000770CF">
              <w:rPr>
                <w:sz w:val="22"/>
              </w:rPr>
              <w:t xml:space="preserve">Development of </w:t>
            </w:r>
            <w:r w:rsidR="000876F0" w:rsidRPr="000770CF">
              <w:rPr>
                <w:sz w:val="22"/>
              </w:rPr>
              <w:t>standardised</w:t>
            </w:r>
            <w:r w:rsidRPr="000770CF">
              <w:rPr>
                <w:sz w:val="22"/>
              </w:rPr>
              <w:t xml:space="preserve"> referral system</w:t>
            </w:r>
          </w:p>
          <w:p w14:paraId="3756144F" w14:textId="6C559C0D" w:rsidR="00555B00" w:rsidRPr="000770CF" w:rsidRDefault="00555B00" w:rsidP="00555B00">
            <w:pPr>
              <w:pStyle w:val="ListParagraph"/>
              <w:numPr>
                <w:ilvl w:val="0"/>
                <w:numId w:val="10"/>
              </w:numPr>
              <w:rPr>
                <w:sz w:val="22"/>
              </w:rPr>
            </w:pPr>
            <w:r w:rsidRPr="000770CF">
              <w:rPr>
                <w:sz w:val="22"/>
              </w:rPr>
              <w:t xml:space="preserve">E-record </w:t>
            </w:r>
          </w:p>
          <w:p w14:paraId="6EE251B8" w14:textId="77777777" w:rsidR="00DD5C02" w:rsidRPr="000770CF" w:rsidRDefault="00DD5C02" w:rsidP="00DD5C02">
            <w:pPr>
              <w:rPr>
                <w:rFonts w:ascii="Arial" w:hAnsi="Arial" w:cs="Arial"/>
              </w:rPr>
            </w:pPr>
          </w:p>
        </w:tc>
        <w:tc>
          <w:tcPr>
            <w:tcW w:w="2126" w:type="dxa"/>
          </w:tcPr>
          <w:p w14:paraId="7B6603A4" w14:textId="77777777" w:rsidR="006547E5" w:rsidRPr="000770CF" w:rsidRDefault="006547E5" w:rsidP="00070152">
            <w:pPr>
              <w:rPr>
                <w:rFonts w:ascii="Arial" w:hAnsi="Arial" w:cs="Arial"/>
              </w:rPr>
            </w:pPr>
            <w:r w:rsidRPr="000770CF">
              <w:rPr>
                <w:rFonts w:ascii="Arial" w:hAnsi="Arial" w:cs="Arial"/>
              </w:rPr>
              <w:t xml:space="preserve">Patient Safety Group </w:t>
            </w:r>
          </w:p>
          <w:p w14:paraId="13A697E7" w14:textId="77777777" w:rsidR="006547E5" w:rsidRPr="000770CF" w:rsidRDefault="006547E5" w:rsidP="00070152">
            <w:pPr>
              <w:rPr>
                <w:rFonts w:ascii="Arial" w:hAnsi="Arial" w:cs="Arial"/>
              </w:rPr>
            </w:pPr>
          </w:p>
          <w:p w14:paraId="791E2CFD" w14:textId="4BE89932" w:rsidR="006547E5" w:rsidRPr="000770CF" w:rsidRDefault="006547E5" w:rsidP="00070152">
            <w:pPr>
              <w:rPr>
                <w:rFonts w:ascii="Arial" w:hAnsi="Arial" w:cs="Arial"/>
              </w:rPr>
            </w:pPr>
            <w:r w:rsidRPr="000770CF">
              <w:rPr>
                <w:rFonts w:ascii="Arial" w:hAnsi="Arial" w:cs="Arial"/>
              </w:rPr>
              <w:t>Senior Team</w:t>
            </w:r>
            <w:r w:rsidR="00686D6A" w:rsidRPr="000770CF">
              <w:rPr>
                <w:rFonts w:ascii="Arial" w:hAnsi="Arial" w:cs="Arial"/>
              </w:rPr>
              <w:t>*</w:t>
            </w:r>
          </w:p>
        </w:tc>
      </w:tr>
      <w:tr w:rsidR="006547E5" w14:paraId="0135E712" w14:textId="77777777" w:rsidTr="000770CF">
        <w:tc>
          <w:tcPr>
            <w:tcW w:w="2405" w:type="dxa"/>
          </w:tcPr>
          <w:p w14:paraId="341A42F0" w14:textId="50765741" w:rsidR="006547E5" w:rsidRPr="000770CF" w:rsidRDefault="00A24112" w:rsidP="00070152">
            <w:pPr>
              <w:rPr>
                <w:rFonts w:ascii="Arial" w:hAnsi="Arial" w:cs="Arial"/>
                <w:szCs w:val="24"/>
              </w:rPr>
            </w:pPr>
            <w:r w:rsidRPr="000770CF">
              <w:rPr>
                <w:rFonts w:ascii="Arial" w:hAnsi="Arial" w:cs="Arial"/>
                <w:b/>
                <w:bCs/>
                <w:szCs w:val="24"/>
              </w:rPr>
              <w:t>Anticoagulation</w:t>
            </w:r>
            <w:r w:rsidR="00322EB0" w:rsidRPr="000770CF">
              <w:rPr>
                <w:rFonts w:ascii="Arial" w:hAnsi="Arial" w:cs="Arial"/>
                <w:b/>
                <w:bCs/>
                <w:szCs w:val="24"/>
              </w:rPr>
              <w:t>:</w:t>
            </w:r>
            <w:r w:rsidR="00322EB0" w:rsidRPr="000770CF">
              <w:rPr>
                <w:rFonts w:ascii="Arial" w:hAnsi="Arial" w:cs="Arial"/>
                <w:szCs w:val="24"/>
              </w:rPr>
              <w:t xml:space="preserve"> </w:t>
            </w:r>
            <w:r w:rsidR="006547E5" w:rsidRPr="000770CF">
              <w:rPr>
                <w:rFonts w:ascii="Arial" w:hAnsi="Arial" w:cs="Arial"/>
                <w:szCs w:val="24"/>
              </w:rPr>
              <w:t>Omission in medication especially low molecular weight heparin (LMWH)</w:t>
            </w:r>
            <w:r w:rsidRPr="000770CF">
              <w:rPr>
                <w:rFonts w:ascii="Arial" w:hAnsi="Arial" w:cs="Arial"/>
                <w:szCs w:val="24"/>
              </w:rPr>
              <w:t>/ Warfarin</w:t>
            </w:r>
          </w:p>
          <w:p w14:paraId="6E86BEE3" w14:textId="77777777" w:rsidR="006547E5" w:rsidRPr="000770CF" w:rsidRDefault="006547E5" w:rsidP="00070152">
            <w:pPr>
              <w:rPr>
                <w:rFonts w:ascii="Arial" w:hAnsi="Arial" w:cs="Arial"/>
                <w:szCs w:val="24"/>
              </w:rPr>
            </w:pPr>
          </w:p>
          <w:p w14:paraId="4255F22A" w14:textId="77777777" w:rsidR="006547E5" w:rsidRPr="000770CF" w:rsidRDefault="006547E5" w:rsidP="00070152">
            <w:pPr>
              <w:rPr>
                <w:rFonts w:ascii="Arial" w:hAnsi="Arial" w:cs="Arial"/>
              </w:rPr>
            </w:pPr>
          </w:p>
        </w:tc>
        <w:tc>
          <w:tcPr>
            <w:tcW w:w="2835" w:type="dxa"/>
          </w:tcPr>
          <w:p w14:paraId="76381E14" w14:textId="77777777" w:rsidR="006547E5" w:rsidRPr="000770CF" w:rsidRDefault="006547E5" w:rsidP="00070152">
            <w:pPr>
              <w:rPr>
                <w:rFonts w:ascii="Arial" w:hAnsi="Arial" w:cs="Arial"/>
              </w:rPr>
            </w:pPr>
            <w:r w:rsidRPr="000770CF">
              <w:rPr>
                <w:rFonts w:ascii="Arial" w:hAnsi="Arial" w:cs="Arial"/>
              </w:rPr>
              <w:t xml:space="preserve">Medications incidents are most common patient safety incident and common SI - average around 1 in 10 SIs. </w:t>
            </w:r>
          </w:p>
          <w:p w14:paraId="72A796C8" w14:textId="2E2067C1" w:rsidR="006547E5" w:rsidRPr="000770CF" w:rsidRDefault="006547E5" w:rsidP="00070152">
            <w:pPr>
              <w:rPr>
                <w:rFonts w:ascii="Arial" w:hAnsi="Arial" w:cs="Arial"/>
              </w:rPr>
            </w:pPr>
            <w:r w:rsidRPr="000770CF">
              <w:rPr>
                <w:rFonts w:ascii="Arial" w:hAnsi="Arial" w:cs="Arial"/>
              </w:rPr>
              <w:t xml:space="preserve">Trend of incidents reported involving anticoagulation – heparin &amp; warfarin. Recent thematic analysis has been completed with several large improvement workstreams identified. Thrombosis service staffing rated as 15 on risk register. </w:t>
            </w:r>
          </w:p>
        </w:tc>
        <w:tc>
          <w:tcPr>
            <w:tcW w:w="1985" w:type="dxa"/>
          </w:tcPr>
          <w:p w14:paraId="128594FC" w14:textId="77777777" w:rsidR="00686D6A" w:rsidRPr="000770CF" w:rsidRDefault="00686D6A" w:rsidP="00686D6A">
            <w:pPr>
              <w:rPr>
                <w:rFonts w:ascii="Arial" w:hAnsi="Arial" w:cs="Arial"/>
              </w:rPr>
            </w:pPr>
            <w:r w:rsidRPr="000770CF">
              <w:rPr>
                <w:rFonts w:ascii="Arial" w:hAnsi="Arial" w:cs="Arial"/>
              </w:rPr>
              <w:t>Priority leads for improvement will be identified and clear aims statement developed.</w:t>
            </w:r>
          </w:p>
          <w:p w14:paraId="34632F9B" w14:textId="77777777" w:rsidR="00DD5C02" w:rsidRPr="000770CF" w:rsidRDefault="00DD5C02" w:rsidP="00070152">
            <w:pPr>
              <w:rPr>
                <w:rFonts w:ascii="Arial" w:hAnsi="Arial" w:cs="Arial"/>
              </w:rPr>
            </w:pPr>
          </w:p>
          <w:p w14:paraId="22507763" w14:textId="715065ED" w:rsidR="006547E5" w:rsidRPr="000770CF" w:rsidRDefault="006547E5" w:rsidP="00070152">
            <w:pPr>
              <w:rPr>
                <w:rFonts w:ascii="Arial" w:hAnsi="Arial" w:cs="Arial"/>
              </w:rPr>
            </w:pPr>
            <w:r w:rsidRPr="000770CF">
              <w:rPr>
                <w:rFonts w:ascii="Arial" w:hAnsi="Arial" w:cs="Arial"/>
              </w:rPr>
              <w:t xml:space="preserve">Improvement workstreams required </w:t>
            </w:r>
          </w:p>
          <w:p w14:paraId="0400C6D8" w14:textId="77777777" w:rsidR="006547E5" w:rsidRPr="000770CF" w:rsidRDefault="006547E5" w:rsidP="006547E5">
            <w:pPr>
              <w:pStyle w:val="ListParagraph"/>
              <w:numPr>
                <w:ilvl w:val="0"/>
                <w:numId w:val="3"/>
              </w:numPr>
              <w:rPr>
                <w:sz w:val="22"/>
              </w:rPr>
            </w:pPr>
            <w:r w:rsidRPr="000770CF">
              <w:rPr>
                <w:sz w:val="22"/>
              </w:rPr>
              <w:t xml:space="preserve">E-record </w:t>
            </w:r>
          </w:p>
          <w:p w14:paraId="2CD8F096" w14:textId="77777777" w:rsidR="006547E5" w:rsidRPr="000770CF" w:rsidRDefault="006547E5" w:rsidP="006547E5">
            <w:pPr>
              <w:pStyle w:val="ListParagraph"/>
              <w:numPr>
                <w:ilvl w:val="0"/>
                <w:numId w:val="3"/>
              </w:numPr>
              <w:rPr>
                <w:sz w:val="22"/>
              </w:rPr>
            </w:pPr>
            <w:r w:rsidRPr="000770CF">
              <w:rPr>
                <w:sz w:val="22"/>
              </w:rPr>
              <w:t xml:space="preserve">training &amp; support in prescribing for junior doctors </w:t>
            </w:r>
          </w:p>
          <w:p w14:paraId="1992731A" w14:textId="77777777" w:rsidR="006547E5" w:rsidRPr="000770CF" w:rsidRDefault="006547E5" w:rsidP="006547E5">
            <w:pPr>
              <w:pStyle w:val="ListParagraph"/>
              <w:numPr>
                <w:ilvl w:val="0"/>
                <w:numId w:val="3"/>
              </w:numPr>
              <w:rPr>
                <w:sz w:val="22"/>
              </w:rPr>
            </w:pPr>
            <w:r w:rsidRPr="000770CF">
              <w:rPr>
                <w:sz w:val="22"/>
              </w:rPr>
              <w:t>nursing standards &amp; handover</w:t>
            </w:r>
          </w:p>
          <w:p w14:paraId="2256604C" w14:textId="77777777" w:rsidR="006547E5" w:rsidRPr="000770CF" w:rsidRDefault="006547E5" w:rsidP="00070152">
            <w:pPr>
              <w:rPr>
                <w:rFonts w:ascii="Arial" w:hAnsi="Arial" w:cs="Arial"/>
                <w:b/>
                <w:bCs/>
              </w:rPr>
            </w:pPr>
          </w:p>
        </w:tc>
        <w:tc>
          <w:tcPr>
            <w:tcW w:w="2126" w:type="dxa"/>
          </w:tcPr>
          <w:p w14:paraId="66B911C2" w14:textId="77777777" w:rsidR="006547E5" w:rsidRPr="000770CF" w:rsidRDefault="006547E5" w:rsidP="00070152">
            <w:pPr>
              <w:rPr>
                <w:rFonts w:ascii="Arial" w:hAnsi="Arial" w:cs="Arial"/>
              </w:rPr>
            </w:pPr>
            <w:r w:rsidRPr="000770CF">
              <w:rPr>
                <w:rFonts w:ascii="Arial" w:hAnsi="Arial" w:cs="Arial"/>
              </w:rPr>
              <w:t xml:space="preserve">Thrombosis Working Group </w:t>
            </w:r>
          </w:p>
          <w:p w14:paraId="64EB2A9F" w14:textId="77777777" w:rsidR="006547E5" w:rsidRPr="000770CF" w:rsidRDefault="006547E5" w:rsidP="00070152">
            <w:pPr>
              <w:rPr>
                <w:rFonts w:ascii="Arial" w:hAnsi="Arial" w:cs="Arial"/>
              </w:rPr>
            </w:pPr>
          </w:p>
          <w:p w14:paraId="2CCF0C3A" w14:textId="77777777" w:rsidR="006547E5" w:rsidRPr="000770CF" w:rsidRDefault="006547E5" w:rsidP="00070152">
            <w:pPr>
              <w:rPr>
                <w:rFonts w:ascii="Arial" w:hAnsi="Arial" w:cs="Arial"/>
              </w:rPr>
            </w:pPr>
            <w:r w:rsidRPr="000770CF">
              <w:rPr>
                <w:rFonts w:ascii="Arial" w:hAnsi="Arial" w:cs="Arial"/>
              </w:rPr>
              <w:t xml:space="preserve">Medication Safety Group </w:t>
            </w:r>
          </w:p>
          <w:p w14:paraId="1E14C738" w14:textId="77777777" w:rsidR="006547E5" w:rsidRPr="000770CF" w:rsidRDefault="006547E5" w:rsidP="00070152">
            <w:pPr>
              <w:rPr>
                <w:rFonts w:ascii="Arial" w:hAnsi="Arial" w:cs="Arial"/>
              </w:rPr>
            </w:pPr>
          </w:p>
          <w:p w14:paraId="1E2B6106" w14:textId="77777777" w:rsidR="006547E5" w:rsidRPr="000770CF" w:rsidRDefault="006547E5" w:rsidP="00070152">
            <w:pPr>
              <w:rPr>
                <w:rFonts w:ascii="Arial" w:hAnsi="Arial" w:cs="Arial"/>
                <w:b/>
                <w:bCs/>
              </w:rPr>
            </w:pPr>
            <w:r w:rsidRPr="000770CF">
              <w:rPr>
                <w:rFonts w:ascii="Arial" w:hAnsi="Arial" w:cs="Arial"/>
              </w:rPr>
              <w:t>Patient Safety Group</w:t>
            </w:r>
            <w:r w:rsidRPr="000770CF">
              <w:rPr>
                <w:rFonts w:ascii="Arial" w:hAnsi="Arial" w:cs="Arial"/>
                <w:b/>
                <w:bCs/>
              </w:rPr>
              <w:t xml:space="preserve"> </w:t>
            </w:r>
          </w:p>
        </w:tc>
      </w:tr>
      <w:bookmarkEnd w:id="0"/>
    </w:tbl>
    <w:p w14:paraId="34A1DFFC" w14:textId="77777777" w:rsidR="000770CF" w:rsidRDefault="000770CF" w:rsidP="00AC5336">
      <w:pPr>
        <w:rPr>
          <w:rFonts w:ascii="Arial" w:hAnsi="Arial" w:cs="Arial"/>
        </w:rPr>
      </w:pPr>
    </w:p>
    <w:p w14:paraId="656D599C" w14:textId="2FBA0281" w:rsidR="00032024" w:rsidRDefault="0070527C" w:rsidP="00AC5336">
      <w:pPr>
        <w:rPr>
          <w:rFonts w:ascii="Arial" w:hAnsi="Arial" w:cs="Arial"/>
        </w:rPr>
      </w:pPr>
      <w:r w:rsidRPr="0070527C">
        <w:rPr>
          <w:rFonts w:ascii="Arial" w:hAnsi="Arial" w:cs="Arial"/>
        </w:rPr>
        <w:t xml:space="preserve">*The </w:t>
      </w:r>
      <w:r w:rsidR="00E42FF0">
        <w:rPr>
          <w:rFonts w:ascii="Arial" w:hAnsi="Arial" w:cs="Arial"/>
        </w:rPr>
        <w:t>s</w:t>
      </w:r>
      <w:r w:rsidRPr="0070527C">
        <w:rPr>
          <w:rFonts w:ascii="Arial" w:hAnsi="Arial" w:cs="Arial"/>
        </w:rPr>
        <w:t xml:space="preserve">enior </w:t>
      </w:r>
      <w:r w:rsidR="00E42FF0">
        <w:rPr>
          <w:rFonts w:ascii="Arial" w:hAnsi="Arial" w:cs="Arial"/>
        </w:rPr>
        <w:t>t</w:t>
      </w:r>
      <w:r w:rsidRPr="0070527C">
        <w:rPr>
          <w:rFonts w:ascii="Arial" w:hAnsi="Arial" w:cs="Arial"/>
        </w:rPr>
        <w:t xml:space="preserve">eam comprises </w:t>
      </w:r>
      <w:r w:rsidR="00E42FF0" w:rsidRPr="0070527C">
        <w:rPr>
          <w:rFonts w:ascii="Arial" w:hAnsi="Arial" w:cs="Arial"/>
        </w:rPr>
        <w:t>senior nurses, cl</w:t>
      </w:r>
      <w:r w:rsidR="00E42FF0">
        <w:rPr>
          <w:rFonts w:ascii="Arial" w:hAnsi="Arial" w:cs="Arial"/>
        </w:rPr>
        <w:t>i</w:t>
      </w:r>
      <w:r w:rsidR="00E42FF0" w:rsidRPr="0070527C">
        <w:rPr>
          <w:rFonts w:ascii="Arial" w:hAnsi="Arial" w:cs="Arial"/>
        </w:rPr>
        <w:t xml:space="preserve">nical directors of patient </w:t>
      </w:r>
      <w:r w:rsidR="00E42FF0">
        <w:rPr>
          <w:rFonts w:ascii="Arial" w:hAnsi="Arial" w:cs="Arial"/>
        </w:rPr>
        <w:t>s</w:t>
      </w:r>
      <w:r w:rsidR="00E42FF0" w:rsidRPr="0070527C">
        <w:rPr>
          <w:rFonts w:ascii="Arial" w:hAnsi="Arial" w:cs="Arial"/>
        </w:rPr>
        <w:t xml:space="preserve">afety and quality and senior members </w:t>
      </w:r>
      <w:r w:rsidRPr="0070527C">
        <w:rPr>
          <w:rFonts w:ascii="Arial" w:hAnsi="Arial" w:cs="Arial"/>
        </w:rPr>
        <w:t>of CGARD.</w:t>
      </w:r>
      <w:r w:rsidR="00032024">
        <w:rPr>
          <w:rFonts w:ascii="Arial" w:hAnsi="Arial" w:cs="Arial"/>
        </w:rPr>
        <w:br w:type="page"/>
      </w:r>
    </w:p>
    <w:p w14:paraId="60FF657B" w14:textId="587A9787" w:rsidR="006547E5" w:rsidRPr="00AC5336" w:rsidRDefault="003B6F8A" w:rsidP="00AC5336">
      <w:pPr>
        <w:rPr>
          <w:rFonts w:ascii="Arial" w:hAnsi="Arial" w:cs="Arial"/>
          <w:b/>
          <w:bCs/>
          <w:sz w:val="24"/>
          <w:szCs w:val="24"/>
        </w:rPr>
      </w:pPr>
      <w:r>
        <w:rPr>
          <w:rFonts w:ascii="Arial" w:hAnsi="Arial" w:cs="Arial"/>
          <w:b/>
          <w:bCs/>
          <w:sz w:val="24"/>
          <w:szCs w:val="24"/>
        </w:rPr>
        <w:lastRenderedPageBreak/>
        <w:t xml:space="preserve">7. </w:t>
      </w:r>
      <w:r w:rsidR="006547E5" w:rsidRPr="006547E5">
        <w:rPr>
          <w:rFonts w:ascii="Arial" w:hAnsi="Arial" w:cs="Arial"/>
          <w:b/>
          <w:bCs/>
          <w:sz w:val="24"/>
          <w:szCs w:val="24"/>
        </w:rPr>
        <w:t xml:space="preserve">Types of incident </w:t>
      </w:r>
    </w:p>
    <w:p w14:paraId="40E51206" w14:textId="34A74FA3" w:rsidR="006547E5" w:rsidRPr="006547E5" w:rsidRDefault="00E5435E" w:rsidP="000770CF">
      <w:pPr>
        <w:pStyle w:val="ListParagraph"/>
        <w:ind w:left="0"/>
        <w:jc w:val="both"/>
        <w:rPr>
          <w:sz w:val="22"/>
        </w:rPr>
      </w:pPr>
      <w:r>
        <w:rPr>
          <w:sz w:val="22"/>
        </w:rPr>
        <w:t xml:space="preserve">There is an established process for triaging serious incidents within the Trust. </w:t>
      </w:r>
      <w:r w:rsidR="006547E5" w:rsidRPr="006547E5">
        <w:rPr>
          <w:sz w:val="22"/>
        </w:rPr>
        <w:t>This work is currently largely conducted by CGARD, with the exception of national (external) reviews e.g.</w:t>
      </w:r>
      <w:r>
        <w:rPr>
          <w:sz w:val="22"/>
        </w:rPr>
        <w:t xml:space="preserve"> </w:t>
      </w:r>
      <w:r w:rsidR="006547E5" w:rsidRPr="006547E5">
        <w:rPr>
          <w:sz w:val="22"/>
        </w:rPr>
        <w:t>M</w:t>
      </w:r>
      <w:r w:rsidR="00773A17">
        <w:rPr>
          <w:sz w:val="22"/>
        </w:rPr>
        <w:t>at</w:t>
      </w:r>
      <w:r w:rsidR="00805C22">
        <w:rPr>
          <w:sz w:val="22"/>
        </w:rPr>
        <w:t xml:space="preserve">ernity and </w:t>
      </w:r>
      <w:r w:rsidR="006547E5" w:rsidRPr="006547E5">
        <w:rPr>
          <w:sz w:val="22"/>
        </w:rPr>
        <w:t>N</w:t>
      </w:r>
      <w:r w:rsidR="00805C22">
        <w:rPr>
          <w:sz w:val="22"/>
        </w:rPr>
        <w:t xml:space="preserve">ewborn </w:t>
      </w:r>
      <w:r w:rsidR="006547E5" w:rsidRPr="006547E5">
        <w:rPr>
          <w:sz w:val="22"/>
        </w:rPr>
        <w:t>S</w:t>
      </w:r>
      <w:r w:rsidR="00805C22">
        <w:rPr>
          <w:sz w:val="22"/>
        </w:rPr>
        <w:t xml:space="preserve">afety </w:t>
      </w:r>
      <w:r w:rsidR="00805C22" w:rsidRPr="006547E5">
        <w:rPr>
          <w:sz w:val="22"/>
        </w:rPr>
        <w:t>I</w:t>
      </w:r>
      <w:r w:rsidR="00805C22">
        <w:rPr>
          <w:sz w:val="22"/>
        </w:rPr>
        <w:t>nitiative</w:t>
      </w:r>
      <w:r w:rsidR="004032EA">
        <w:rPr>
          <w:sz w:val="22"/>
        </w:rPr>
        <w:t xml:space="preserve"> (MNSI)</w:t>
      </w:r>
      <w:r w:rsidR="00AC5336">
        <w:rPr>
          <w:sz w:val="22"/>
        </w:rPr>
        <w:t>.</w:t>
      </w:r>
      <w:r w:rsidR="006547E5" w:rsidRPr="006547E5">
        <w:rPr>
          <w:sz w:val="22"/>
        </w:rPr>
        <w:t xml:space="preserve"> </w:t>
      </w:r>
      <w:r>
        <w:rPr>
          <w:sz w:val="22"/>
        </w:rPr>
        <w:t xml:space="preserve">It is anticipated that the </w:t>
      </w:r>
      <w:r w:rsidR="00CE7DF3">
        <w:rPr>
          <w:sz w:val="22"/>
        </w:rPr>
        <w:t xml:space="preserve">serious incident </w:t>
      </w:r>
      <w:r>
        <w:rPr>
          <w:sz w:val="22"/>
        </w:rPr>
        <w:t xml:space="preserve">triage process will change (see Appendix B) with the Serious Incident Triage Panel becoming the </w:t>
      </w:r>
      <w:r w:rsidRPr="00E5435E">
        <w:rPr>
          <w:sz w:val="22"/>
        </w:rPr>
        <w:t>Response Action Review meeting</w:t>
      </w:r>
      <w:r>
        <w:rPr>
          <w:sz w:val="22"/>
        </w:rPr>
        <w:t>.</w:t>
      </w:r>
    </w:p>
    <w:p w14:paraId="2EF15110" w14:textId="77777777" w:rsidR="006547E5" w:rsidRPr="006547E5" w:rsidRDefault="006547E5" w:rsidP="000770CF">
      <w:pPr>
        <w:pStyle w:val="ListParagraph"/>
        <w:jc w:val="both"/>
        <w:rPr>
          <w:i/>
          <w:iCs/>
          <w:sz w:val="22"/>
        </w:rPr>
      </w:pPr>
    </w:p>
    <w:p w14:paraId="7ABFA754" w14:textId="3C6A6C8B" w:rsidR="006547E5" w:rsidRPr="00665013" w:rsidRDefault="006547E5" w:rsidP="000770CF">
      <w:pPr>
        <w:pStyle w:val="ListParagraph"/>
        <w:numPr>
          <w:ilvl w:val="0"/>
          <w:numId w:val="5"/>
        </w:numPr>
        <w:jc w:val="both"/>
        <w:rPr>
          <w:b/>
          <w:bCs/>
          <w:sz w:val="22"/>
        </w:rPr>
      </w:pPr>
      <w:r w:rsidRPr="006547E5">
        <w:rPr>
          <w:b/>
          <w:bCs/>
          <w:i/>
          <w:iCs/>
          <w:sz w:val="22"/>
        </w:rPr>
        <w:t>Nationally defined priorities for PSII or review by external team</w:t>
      </w:r>
      <w:r w:rsidRPr="006547E5">
        <w:rPr>
          <w:b/>
          <w:bCs/>
          <w:sz w:val="22"/>
        </w:rPr>
        <w:t xml:space="preserve"> –</w:t>
      </w:r>
      <w:r w:rsidR="0008497E">
        <w:rPr>
          <w:b/>
          <w:bCs/>
          <w:sz w:val="22"/>
        </w:rPr>
        <w:t xml:space="preserve"> </w:t>
      </w:r>
      <w:r w:rsidRPr="006547E5">
        <w:rPr>
          <w:sz w:val="22"/>
        </w:rPr>
        <w:t xml:space="preserve">MNSI, </w:t>
      </w:r>
      <w:r w:rsidR="00665013" w:rsidRPr="00665013">
        <w:rPr>
          <w:sz w:val="22"/>
        </w:rPr>
        <w:t>Learning from lives and deaths – People with a learning disability and autistic people</w:t>
      </w:r>
      <w:r w:rsidR="00665013">
        <w:rPr>
          <w:b/>
          <w:bCs/>
          <w:sz w:val="22"/>
        </w:rPr>
        <w:t xml:space="preserve"> (</w:t>
      </w:r>
      <w:r w:rsidRPr="00665013">
        <w:t>LeDer,</w:t>
      </w:r>
      <w:r w:rsidR="00665013">
        <w:t>)</w:t>
      </w:r>
      <w:r w:rsidRPr="00665013">
        <w:t xml:space="preserve"> Screening incidents etc </w:t>
      </w:r>
    </w:p>
    <w:p w14:paraId="25833D86" w14:textId="77777777" w:rsidR="006547E5" w:rsidRPr="006547E5" w:rsidRDefault="006547E5" w:rsidP="000770CF">
      <w:pPr>
        <w:pStyle w:val="ListParagraph"/>
        <w:numPr>
          <w:ilvl w:val="0"/>
          <w:numId w:val="5"/>
        </w:numPr>
        <w:jc w:val="both"/>
        <w:rPr>
          <w:sz w:val="22"/>
        </w:rPr>
      </w:pPr>
      <w:r w:rsidRPr="006547E5">
        <w:rPr>
          <w:b/>
          <w:bCs/>
          <w:i/>
          <w:iCs/>
          <w:sz w:val="22"/>
        </w:rPr>
        <w:t>Nationally defined incidents requiring local PSII</w:t>
      </w:r>
      <w:r w:rsidRPr="006547E5">
        <w:rPr>
          <w:sz w:val="22"/>
        </w:rPr>
        <w:t xml:space="preserve">  - NEs, Learning from Deaths </w:t>
      </w:r>
    </w:p>
    <w:p w14:paraId="36DC08D5" w14:textId="0D1A2A48" w:rsidR="006547E5" w:rsidRPr="006547E5" w:rsidRDefault="006547E5" w:rsidP="000770CF">
      <w:pPr>
        <w:pStyle w:val="ListParagraph"/>
        <w:numPr>
          <w:ilvl w:val="0"/>
          <w:numId w:val="5"/>
        </w:numPr>
        <w:jc w:val="both"/>
        <w:rPr>
          <w:sz w:val="22"/>
        </w:rPr>
      </w:pPr>
      <w:r w:rsidRPr="006547E5">
        <w:rPr>
          <w:b/>
          <w:bCs/>
          <w:i/>
          <w:iCs/>
          <w:sz w:val="22"/>
        </w:rPr>
        <w:t>Locally defined incidents requiring local investigation</w:t>
      </w:r>
      <w:r w:rsidRPr="006547E5">
        <w:rPr>
          <w:sz w:val="22"/>
        </w:rPr>
        <w:t xml:space="preserve"> (priority driving local improvement work)– PSII or other </w:t>
      </w:r>
      <w:r w:rsidR="0040604C" w:rsidRPr="006547E5">
        <w:rPr>
          <w:sz w:val="22"/>
        </w:rPr>
        <w:t>method *</w:t>
      </w:r>
    </w:p>
    <w:p w14:paraId="324BB456" w14:textId="77777777" w:rsidR="006547E5" w:rsidRPr="006547E5" w:rsidRDefault="006547E5" w:rsidP="000770CF">
      <w:pPr>
        <w:pStyle w:val="ListParagraph"/>
        <w:numPr>
          <w:ilvl w:val="0"/>
          <w:numId w:val="6"/>
        </w:numPr>
        <w:jc w:val="both"/>
        <w:rPr>
          <w:sz w:val="22"/>
        </w:rPr>
      </w:pPr>
      <w:r w:rsidRPr="006547E5">
        <w:rPr>
          <w:b/>
          <w:bCs/>
          <w:i/>
          <w:iCs/>
          <w:sz w:val="22"/>
        </w:rPr>
        <w:t>Locally defined emergent incidents requiring PSII</w:t>
      </w:r>
      <w:r w:rsidRPr="006547E5">
        <w:rPr>
          <w:b/>
          <w:bCs/>
          <w:sz w:val="22"/>
        </w:rPr>
        <w:t xml:space="preserve"> </w:t>
      </w:r>
      <w:r w:rsidRPr="006547E5">
        <w:rPr>
          <w:sz w:val="22"/>
        </w:rPr>
        <w:t>(unexpected incident with extreme level of risk and potential for learning) *</w:t>
      </w:r>
    </w:p>
    <w:p w14:paraId="54A6C24A" w14:textId="343EB167" w:rsidR="006F28FF" w:rsidRPr="000F7172" w:rsidRDefault="006547E5" w:rsidP="000770CF">
      <w:pPr>
        <w:pStyle w:val="ListParagraph"/>
        <w:jc w:val="both"/>
        <w:rPr>
          <w:sz w:val="22"/>
        </w:rPr>
      </w:pPr>
      <w:r w:rsidRPr="006547E5">
        <w:rPr>
          <w:sz w:val="22"/>
        </w:rPr>
        <w:t xml:space="preserve">*these will be differentiated through the triage process and the type of investigation required determined by the triage panel. </w:t>
      </w:r>
    </w:p>
    <w:p w14:paraId="5440FA41" w14:textId="77777777" w:rsidR="006F28FF" w:rsidRPr="006547E5" w:rsidRDefault="006F28FF" w:rsidP="006547E5">
      <w:pPr>
        <w:pStyle w:val="ListParagraph"/>
        <w:rPr>
          <w:sz w:val="22"/>
        </w:rPr>
      </w:pPr>
    </w:p>
    <w:tbl>
      <w:tblPr>
        <w:tblStyle w:val="TableGrid"/>
        <w:tblW w:w="9441" w:type="dxa"/>
        <w:tblLook w:val="04A0" w:firstRow="1" w:lastRow="0" w:firstColumn="1" w:lastColumn="0" w:noHBand="0" w:noVBand="1"/>
      </w:tblPr>
      <w:tblGrid>
        <w:gridCol w:w="2830"/>
        <w:gridCol w:w="2203"/>
        <w:gridCol w:w="2204"/>
        <w:gridCol w:w="2204"/>
      </w:tblGrid>
      <w:tr w:rsidR="006547E5" w:rsidRPr="00C55170" w14:paraId="12F4407A" w14:textId="77777777" w:rsidTr="00E42FF0">
        <w:tc>
          <w:tcPr>
            <w:tcW w:w="2830" w:type="dxa"/>
            <w:shd w:val="clear" w:color="auto" w:fill="BFBFBF" w:themeFill="background1" w:themeFillShade="BF"/>
          </w:tcPr>
          <w:p w14:paraId="3662E8B6" w14:textId="77777777" w:rsidR="006547E5" w:rsidRPr="00C55170" w:rsidRDefault="006547E5" w:rsidP="00070152">
            <w:pPr>
              <w:rPr>
                <w:szCs w:val="24"/>
              </w:rPr>
            </w:pPr>
          </w:p>
        </w:tc>
        <w:tc>
          <w:tcPr>
            <w:tcW w:w="2203" w:type="dxa"/>
            <w:shd w:val="clear" w:color="auto" w:fill="BFBFBF" w:themeFill="background1" w:themeFillShade="BF"/>
          </w:tcPr>
          <w:p w14:paraId="0B866FC1" w14:textId="77777777" w:rsidR="006547E5" w:rsidRPr="00892ABE" w:rsidRDefault="006547E5" w:rsidP="00070152">
            <w:pPr>
              <w:jc w:val="center"/>
              <w:rPr>
                <w:b/>
                <w:bCs/>
                <w:szCs w:val="24"/>
              </w:rPr>
            </w:pPr>
            <w:r w:rsidRPr="00892ABE">
              <w:rPr>
                <w:b/>
                <w:bCs/>
                <w:szCs w:val="24"/>
              </w:rPr>
              <w:t>2020</w:t>
            </w:r>
          </w:p>
        </w:tc>
        <w:tc>
          <w:tcPr>
            <w:tcW w:w="2204" w:type="dxa"/>
            <w:shd w:val="clear" w:color="auto" w:fill="BFBFBF" w:themeFill="background1" w:themeFillShade="BF"/>
          </w:tcPr>
          <w:p w14:paraId="3F79E63A" w14:textId="77777777" w:rsidR="006547E5" w:rsidRPr="00892ABE" w:rsidRDefault="006547E5" w:rsidP="00070152">
            <w:pPr>
              <w:jc w:val="center"/>
              <w:rPr>
                <w:b/>
                <w:bCs/>
                <w:szCs w:val="24"/>
              </w:rPr>
            </w:pPr>
            <w:r w:rsidRPr="00892ABE">
              <w:rPr>
                <w:b/>
                <w:bCs/>
                <w:szCs w:val="24"/>
              </w:rPr>
              <w:t>2021</w:t>
            </w:r>
          </w:p>
        </w:tc>
        <w:tc>
          <w:tcPr>
            <w:tcW w:w="2204" w:type="dxa"/>
            <w:shd w:val="clear" w:color="auto" w:fill="BFBFBF" w:themeFill="background1" w:themeFillShade="BF"/>
          </w:tcPr>
          <w:p w14:paraId="428211DE" w14:textId="77777777" w:rsidR="006547E5" w:rsidRPr="00892ABE" w:rsidRDefault="006547E5" w:rsidP="00070152">
            <w:pPr>
              <w:jc w:val="center"/>
              <w:rPr>
                <w:b/>
                <w:bCs/>
                <w:szCs w:val="24"/>
              </w:rPr>
            </w:pPr>
            <w:r w:rsidRPr="00892ABE">
              <w:rPr>
                <w:b/>
                <w:bCs/>
                <w:szCs w:val="24"/>
              </w:rPr>
              <w:t>2022</w:t>
            </w:r>
          </w:p>
        </w:tc>
      </w:tr>
      <w:tr w:rsidR="006547E5" w:rsidRPr="000770CF" w14:paraId="4A33387B" w14:textId="77777777" w:rsidTr="00E42FF0">
        <w:trPr>
          <w:trHeight w:val="816"/>
        </w:trPr>
        <w:tc>
          <w:tcPr>
            <w:tcW w:w="2830" w:type="dxa"/>
            <w:shd w:val="clear" w:color="auto" w:fill="00B0F0"/>
          </w:tcPr>
          <w:p w14:paraId="3F5A3F18" w14:textId="2E3D6BF4" w:rsidR="006547E5" w:rsidRPr="000770CF" w:rsidRDefault="006547E5" w:rsidP="00070152">
            <w:pPr>
              <w:jc w:val="center"/>
              <w:rPr>
                <w:rFonts w:ascii="Arial" w:hAnsi="Arial" w:cs="Arial"/>
                <w:b/>
                <w:bCs/>
                <w:szCs w:val="24"/>
              </w:rPr>
            </w:pPr>
            <w:r w:rsidRPr="000770CF">
              <w:rPr>
                <w:rFonts w:ascii="Arial" w:hAnsi="Arial" w:cs="Arial"/>
                <w:b/>
                <w:bCs/>
                <w:szCs w:val="24"/>
              </w:rPr>
              <w:t xml:space="preserve">National </w:t>
            </w:r>
            <w:r w:rsidR="00E42FF0">
              <w:rPr>
                <w:rFonts w:ascii="Arial" w:hAnsi="Arial" w:cs="Arial"/>
                <w:b/>
                <w:bCs/>
                <w:szCs w:val="24"/>
              </w:rPr>
              <w:t>p</w:t>
            </w:r>
            <w:r w:rsidRPr="000770CF">
              <w:rPr>
                <w:rFonts w:ascii="Arial" w:hAnsi="Arial" w:cs="Arial"/>
                <w:b/>
                <w:bCs/>
                <w:szCs w:val="24"/>
              </w:rPr>
              <w:t>riorities (excl</w:t>
            </w:r>
            <w:r w:rsidR="000770CF">
              <w:rPr>
                <w:rFonts w:ascii="Arial" w:hAnsi="Arial" w:cs="Arial"/>
                <w:b/>
                <w:bCs/>
                <w:szCs w:val="24"/>
              </w:rPr>
              <w:t>uding c</w:t>
            </w:r>
            <w:r w:rsidRPr="000770CF">
              <w:rPr>
                <w:rFonts w:ascii="Arial" w:hAnsi="Arial" w:cs="Arial"/>
                <w:b/>
                <w:bCs/>
                <w:szCs w:val="24"/>
              </w:rPr>
              <w:t xml:space="preserve">hild </w:t>
            </w:r>
            <w:r w:rsidR="000770CF">
              <w:rPr>
                <w:rFonts w:ascii="Arial" w:hAnsi="Arial" w:cs="Arial"/>
                <w:b/>
                <w:bCs/>
                <w:szCs w:val="24"/>
              </w:rPr>
              <w:t>d</w:t>
            </w:r>
            <w:r w:rsidRPr="000770CF">
              <w:rPr>
                <w:rFonts w:ascii="Arial" w:hAnsi="Arial" w:cs="Arial"/>
                <w:b/>
                <w:bCs/>
                <w:szCs w:val="24"/>
              </w:rPr>
              <w:t xml:space="preserve">eath </w:t>
            </w:r>
            <w:r w:rsidR="000770CF">
              <w:rPr>
                <w:rFonts w:ascii="Arial" w:hAnsi="Arial" w:cs="Arial"/>
                <w:b/>
                <w:bCs/>
                <w:szCs w:val="24"/>
              </w:rPr>
              <w:t xml:space="preserve"> and </w:t>
            </w:r>
            <w:r w:rsidRPr="000770CF">
              <w:rPr>
                <w:rFonts w:ascii="Arial" w:hAnsi="Arial" w:cs="Arial"/>
                <w:b/>
                <w:bCs/>
                <w:szCs w:val="24"/>
              </w:rPr>
              <w:t>LeDeR) *</w:t>
            </w:r>
          </w:p>
        </w:tc>
        <w:tc>
          <w:tcPr>
            <w:tcW w:w="2203" w:type="dxa"/>
          </w:tcPr>
          <w:p w14:paraId="04334D18" w14:textId="77777777" w:rsidR="006547E5" w:rsidRPr="000770CF" w:rsidRDefault="006547E5" w:rsidP="00070152">
            <w:pPr>
              <w:jc w:val="center"/>
              <w:rPr>
                <w:rFonts w:ascii="Arial" w:hAnsi="Arial" w:cs="Arial"/>
                <w:szCs w:val="24"/>
              </w:rPr>
            </w:pPr>
            <w:r w:rsidRPr="000770CF">
              <w:rPr>
                <w:rFonts w:ascii="Arial" w:hAnsi="Arial" w:cs="Arial"/>
                <w:szCs w:val="24"/>
              </w:rPr>
              <w:t>5</w:t>
            </w:r>
          </w:p>
        </w:tc>
        <w:tc>
          <w:tcPr>
            <w:tcW w:w="2204" w:type="dxa"/>
          </w:tcPr>
          <w:p w14:paraId="3F214F3C" w14:textId="77777777" w:rsidR="006547E5" w:rsidRPr="000770CF" w:rsidRDefault="006547E5" w:rsidP="00070152">
            <w:pPr>
              <w:jc w:val="center"/>
              <w:rPr>
                <w:rFonts w:ascii="Arial" w:hAnsi="Arial" w:cs="Arial"/>
                <w:szCs w:val="24"/>
              </w:rPr>
            </w:pPr>
            <w:r w:rsidRPr="000770CF">
              <w:rPr>
                <w:rFonts w:ascii="Arial" w:hAnsi="Arial" w:cs="Arial"/>
                <w:szCs w:val="24"/>
              </w:rPr>
              <w:t>9</w:t>
            </w:r>
          </w:p>
        </w:tc>
        <w:tc>
          <w:tcPr>
            <w:tcW w:w="2204" w:type="dxa"/>
          </w:tcPr>
          <w:p w14:paraId="7BE98F81" w14:textId="77777777" w:rsidR="006547E5" w:rsidRPr="000770CF" w:rsidRDefault="006547E5" w:rsidP="00070152">
            <w:pPr>
              <w:jc w:val="center"/>
              <w:rPr>
                <w:rFonts w:ascii="Arial" w:hAnsi="Arial" w:cs="Arial"/>
                <w:szCs w:val="24"/>
              </w:rPr>
            </w:pPr>
            <w:r w:rsidRPr="000770CF">
              <w:rPr>
                <w:rFonts w:ascii="Arial" w:hAnsi="Arial" w:cs="Arial"/>
                <w:szCs w:val="24"/>
              </w:rPr>
              <w:t>7</w:t>
            </w:r>
          </w:p>
        </w:tc>
      </w:tr>
      <w:tr w:rsidR="006547E5" w:rsidRPr="000770CF" w14:paraId="37DD8372" w14:textId="77777777" w:rsidTr="00E42FF0">
        <w:tc>
          <w:tcPr>
            <w:tcW w:w="2830" w:type="dxa"/>
            <w:shd w:val="clear" w:color="auto" w:fill="00B0F0"/>
          </w:tcPr>
          <w:p w14:paraId="245204E8" w14:textId="469901A9" w:rsidR="006547E5" w:rsidRPr="000770CF" w:rsidRDefault="006547E5" w:rsidP="00070152">
            <w:pPr>
              <w:jc w:val="center"/>
              <w:rPr>
                <w:rFonts w:ascii="Arial" w:hAnsi="Arial" w:cs="Arial"/>
                <w:b/>
                <w:bCs/>
                <w:szCs w:val="24"/>
              </w:rPr>
            </w:pPr>
            <w:r w:rsidRPr="000770CF">
              <w:rPr>
                <w:rFonts w:ascii="Arial" w:hAnsi="Arial" w:cs="Arial"/>
                <w:b/>
                <w:bCs/>
                <w:szCs w:val="24"/>
              </w:rPr>
              <w:t xml:space="preserve">Never </w:t>
            </w:r>
            <w:r w:rsidR="000770CF">
              <w:rPr>
                <w:rFonts w:ascii="Arial" w:hAnsi="Arial" w:cs="Arial"/>
                <w:b/>
                <w:bCs/>
                <w:szCs w:val="24"/>
              </w:rPr>
              <w:t>e</w:t>
            </w:r>
            <w:r w:rsidRPr="000770CF">
              <w:rPr>
                <w:rFonts w:ascii="Arial" w:hAnsi="Arial" w:cs="Arial"/>
                <w:b/>
                <w:bCs/>
                <w:szCs w:val="24"/>
              </w:rPr>
              <w:t>vents</w:t>
            </w:r>
          </w:p>
          <w:p w14:paraId="2A0AA0D3" w14:textId="77777777" w:rsidR="003B6F8A" w:rsidRPr="000770CF" w:rsidRDefault="003B6F8A" w:rsidP="00070152">
            <w:pPr>
              <w:jc w:val="center"/>
              <w:rPr>
                <w:rFonts w:ascii="Arial" w:hAnsi="Arial" w:cs="Arial"/>
                <w:b/>
                <w:bCs/>
                <w:szCs w:val="24"/>
              </w:rPr>
            </w:pPr>
          </w:p>
        </w:tc>
        <w:tc>
          <w:tcPr>
            <w:tcW w:w="2203" w:type="dxa"/>
          </w:tcPr>
          <w:p w14:paraId="74C885D5" w14:textId="77777777" w:rsidR="006547E5" w:rsidRPr="000770CF" w:rsidRDefault="006547E5" w:rsidP="00070152">
            <w:pPr>
              <w:jc w:val="center"/>
              <w:rPr>
                <w:rFonts w:ascii="Arial" w:hAnsi="Arial" w:cs="Arial"/>
                <w:szCs w:val="24"/>
              </w:rPr>
            </w:pPr>
            <w:r w:rsidRPr="000770CF">
              <w:rPr>
                <w:rFonts w:ascii="Arial" w:hAnsi="Arial" w:cs="Arial"/>
                <w:szCs w:val="24"/>
              </w:rPr>
              <w:t>2</w:t>
            </w:r>
          </w:p>
        </w:tc>
        <w:tc>
          <w:tcPr>
            <w:tcW w:w="2204" w:type="dxa"/>
          </w:tcPr>
          <w:p w14:paraId="4BC32BA6" w14:textId="77777777" w:rsidR="006547E5" w:rsidRPr="000770CF" w:rsidRDefault="006547E5" w:rsidP="00070152">
            <w:pPr>
              <w:jc w:val="center"/>
              <w:rPr>
                <w:rFonts w:ascii="Arial" w:hAnsi="Arial" w:cs="Arial"/>
                <w:szCs w:val="24"/>
              </w:rPr>
            </w:pPr>
            <w:r w:rsidRPr="000770CF">
              <w:rPr>
                <w:rFonts w:ascii="Arial" w:hAnsi="Arial" w:cs="Arial"/>
                <w:szCs w:val="24"/>
              </w:rPr>
              <w:t>4</w:t>
            </w:r>
          </w:p>
        </w:tc>
        <w:tc>
          <w:tcPr>
            <w:tcW w:w="2204" w:type="dxa"/>
          </w:tcPr>
          <w:p w14:paraId="196E4F1B" w14:textId="77777777" w:rsidR="006547E5" w:rsidRPr="000770CF" w:rsidRDefault="006547E5" w:rsidP="00070152">
            <w:pPr>
              <w:jc w:val="center"/>
              <w:rPr>
                <w:rFonts w:ascii="Arial" w:hAnsi="Arial" w:cs="Arial"/>
                <w:szCs w:val="24"/>
              </w:rPr>
            </w:pPr>
            <w:r w:rsidRPr="000770CF">
              <w:rPr>
                <w:rFonts w:ascii="Arial" w:hAnsi="Arial" w:cs="Arial"/>
                <w:szCs w:val="24"/>
              </w:rPr>
              <w:t>6</w:t>
            </w:r>
          </w:p>
        </w:tc>
      </w:tr>
      <w:tr w:rsidR="006547E5" w:rsidRPr="000770CF" w14:paraId="2F64382A" w14:textId="77777777" w:rsidTr="00E42FF0">
        <w:tc>
          <w:tcPr>
            <w:tcW w:w="2830" w:type="dxa"/>
            <w:shd w:val="clear" w:color="auto" w:fill="00B0F0"/>
          </w:tcPr>
          <w:p w14:paraId="48086E93" w14:textId="48581B49" w:rsidR="006547E5" w:rsidRPr="000770CF" w:rsidRDefault="006547E5" w:rsidP="00070152">
            <w:pPr>
              <w:jc w:val="center"/>
              <w:rPr>
                <w:rFonts w:ascii="Arial" w:hAnsi="Arial" w:cs="Arial"/>
                <w:b/>
                <w:bCs/>
                <w:szCs w:val="24"/>
              </w:rPr>
            </w:pPr>
            <w:r w:rsidRPr="000770CF">
              <w:rPr>
                <w:rFonts w:ascii="Arial" w:hAnsi="Arial" w:cs="Arial"/>
                <w:b/>
                <w:bCs/>
                <w:szCs w:val="24"/>
              </w:rPr>
              <w:t xml:space="preserve">Serious </w:t>
            </w:r>
            <w:r w:rsidR="00E42FF0">
              <w:rPr>
                <w:rFonts w:ascii="Arial" w:hAnsi="Arial" w:cs="Arial"/>
                <w:b/>
                <w:bCs/>
                <w:szCs w:val="24"/>
              </w:rPr>
              <w:t>i</w:t>
            </w:r>
            <w:r w:rsidRPr="000770CF">
              <w:rPr>
                <w:rFonts w:ascii="Arial" w:hAnsi="Arial" w:cs="Arial"/>
                <w:b/>
                <w:bCs/>
                <w:szCs w:val="24"/>
              </w:rPr>
              <w:t>ncidents (excl</w:t>
            </w:r>
            <w:r w:rsidR="000770CF">
              <w:rPr>
                <w:rFonts w:ascii="Arial" w:hAnsi="Arial" w:cs="Arial"/>
                <w:b/>
                <w:bCs/>
                <w:szCs w:val="24"/>
              </w:rPr>
              <w:t xml:space="preserve">uding </w:t>
            </w:r>
            <w:r w:rsidRPr="000770CF">
              <w:rPr>
                <w:rFonts w:ascii="Arial" w:hAnsi="Arial" w:cs="Arial"/>
                <w:b/>
                <w:bCs/>
                <w:szCs w:val="24"/>
              </w:rPr>
              <w:t xml:space="preserve">falls </w:t>
            </w:r>
            <w:r w:rsidR="000770CF">
              <w:rPr>
                <w:rFonts w:ascii="Arial" w:hAnsi="Arial" w:cs="Arial"/>
                <w:b/>
                <w:bCs/>
                <w:szCs w:val="24"/>
              </w:rPr>
              <w:t>and</w:t>
            </w:r>
            <w:r w:rsidRPr="000770CF">
              <w:rPr>
                <w:rFonts w:ascii="Arial" w:hAnsi="Arial" w:cs="Arial"/>
                <w:b/>
                <w:bCs/>
                <w:szCs w:val="24"/>
              </w:rPr>
              <w:t xml:space="preserve"> pressure ulcers)</w:t>
            </w:r>
          </w:p>
        </w:tc>
        <w:tc>
          <w:tcPr>
            <w:tcW w:w="2203" w:type="dxa"/>
          </w:tcPr>
          <w:p w14:paraId="0686E628" w14:textId="77777777" w:rsidR="006547E5" w:rsidRPr="000770CF" w:rsidRDefault="006547E5" w:rsidP="00070152">
            <w:pPr>
              <w:jc w:val="center"/>
              <w:rPr>
                <w:rFonts w:ascii="Arial" w:hAnsi="Arial" w:cs="Arial"/>
                <w:szCs w:val="24"/>
              </w:rPr>
            </w:pPr>
            <w:r w:rsidRPr="000770CF">
              <w:rPr>
                <w:rFonts w:ascii="Arial" w:hAnsi="Arial" w:cs="Arial"/>
                <w:szCs w:val="24"/>
              </w:rPr>
              <w:t>55</w:t>
            </w:r>
          </w:p>
        </w:tc>
        <w:tc>
          <w:tcPr>
            <w:tcW w:w="2204" w:type="dxa"/>
          </w:tcPr>
          <w:p w14:paraId="00383D77" w14:textId="77777777" w:rsidR="006547E5" w:rsidRPr="000770CF" w:rsidRDefault="006547E5" w:rsidP="00070152">
            <w:pPr>
              <w:jc w:val="center"/>
              <w:rPr>
                <w:rFonts w:ascii="Arial" w:hAnsi="Arial" w:cs="Arial"/>
                <w:szCs w:val="24"/>
              </w:rPr>
            </w:pPr>
            <w:r w:rsidRPr="000770CF">
              <w:rPr>
                <w:rFonts w:ascii="Arial" w:hAnsi="Arial" w:cs="Arial"/>
                <w:szCs w:val="24"/>
              </w:rPr>
              <w:t>68</w:t>
            </w:r>
          </w:p>
        </w:tc>
        <w:tc>
          <w:tcPr>
            <w:tcW w:w="2204" w:type="dxa"/>
          </w:tcPr>
          <w:p w14:paraId="089AA2CD" w14:textId="77777777" w:rsidR="006547E5" w:rsidRPr="000770CF" w:rsidRDefault="006547E5" w:rsidP="00070152">
            <w:pPr>
              <w:jc w:val="center"/>
              <w:rPr>
                <w:rFonts w:ascii="Arial" w:hAnsi="Arial" w:cs="Arial"/>
                <w:szCs w:val="24"/>
              </w:rPr>
            </w:pPr>
            <w:r w:rsidRPr="000770CF">
              <w:rPr>
                <w:rFonts w:ascii="Arial" w:hAnsi="Arial" w:cs="Arial"/>
                <w:szCs w:val="24"/>
              </w:rPr>
              <w:t>61</w:t>
            </w:r>
          </w:p>
        </w:tc>
      </w:tr>
      <w:tr w:rsidR="006547E5" w:rsidRPr="000770CF" w14:paraId="7D717A11" w14:textId="77777777" w:rsidTr="00E42FF0">
        <w:tc>
          <w:tcPr>
            <w:tcW w:w="2830" w:type="dxa"/>
            <w:shd w:val="clear" w:color="auto" w:fill="00B0F0"/>
          </w:tcPr>
          <w:p w14:paraId="32CB7320" w14:textId="47EFEE8E" w:rsidR="003B6F8A" w:rsidRPr="000770CF" w:rsidRDefault="006547E5" w:rsidP="000770CF">
            <w:pPr>
              <w:jc w:val="center"/>
              <w:rPr>
                <w:rFonts w:ascii="Arial" w:hAnsi="Arial" w:cs="Arial"/>
                <w:b/>
                <w:bCs/>
                <w:szCs w:val="24"/>
              </w:rPr>
            </w:pPr>
            <w:r w:rsidRPr="000770CF">
              <w:rPr>
                <w:rFonts w:ascii="Arial" w:hAnsi="Arial" w:cs="Arial"/>
                <w:b/>
                <w:bCs/>
                <w:szCs w:val="24"/>
              </w:rPr>
              <w:t xml:space="preserve">Locally defined SIs </w:t>
            </w:r>
            <w:r w:rsidR="00E42FF0">
              <w:rPr>
                <w:rFonts w:ascii="Arial" w:hAnsi="Arial" w:cs="Arial"/>
                <w:b/>
                <w:bCs/>
                <w:szCs w:val="24"/>
              </w:rPr>
              <w:t>*</w:t>
            </w:r>
            <w:r w:rsidRPr="000770CF">
              <w:rPr>
                <w:rFonts w:ascii="Arial" w:hAnsi="Arial" w:cs="Arial"/>
                <w:b/>
                <w:bCs/>
                <w:szCs w:val="24"/>
              </w:rPr>
              <w:t>*</w:t>
            </w:r>
          </w:p>
        </w:tc>
        <w:tc>
          <w:tcPr>
            <w:tcW w:w="2203" w:type="dxa"/>
          </w:tcPr>
          <w:p w14:paraId="420C4EFB" w14:textId="77777777" w:rsidR="006547E5" w:rsidRPr="000770CF" w:rsidRDefault="006547E5" w:rsidP="00070152">
            <w:pPr>
              <w:jc w:val="center"/>
              <w:rPr>
                <w:rFonts w:ascii="Arial" w:hAnsi="Arial" w:cs="Arial"/>
                <w:szCs w:val="24"/>
              </w:rPr>
            </w:pPr>
            <w:r w:rsidRPr="000770CF">
              <w:rPr>
                <w:rFonts w:ascii="Arial" w:hAnsi="Arial" w:cs="Arial"/>
                <w:szCs w:val="24"/>
              </w:rPr>
              <w:t>32</w:t>
            </w:r>
          </w:p>
        </w:tc>
        <w:tc>
          <w:tcPr>
            <w:tcW w:w="2204" w:type="dxa"/>
          </w:tcPr>
          <w:p w14:paraId="6D3EC5CA" w14:textId="77777777" w:rsidR="006547E5" w:rsidRPr="000770CF" w:rsidRDefault="006547E5" w:rsidP="00070152">
            <w:pPr>
              <w:jc w:val="center"/>
              <w:rPr>
                <w:rFonts w:ascii="Arial" w:hAnsi="Arial" w:cs="Arial"/>
                <w:szCs w:val="24"/>
              </w:rPr>
            </w:pPr>
            <w:r w:rsidRPr="000770CF">
              <w:rPr>
                <w:rFonts w:ascii="Arial" w:hAnsi="Arial" w:cs="Arial"/>
                <w:szCs w:val="24"/>
              </w:rPr>
              <w:t>24</w:t>
            </w:r>
          </w:p>
        </w:tc>
        <w:tc>
          <w:tcPr>
            <w:tcW w:w="2204" w:type="dxa"/>
          </w:tcPr>
          <w:p w14:paraId="1C36CD5F" w14:textId="77777777" w:rsidR="006547E5" w:rsidRPr="000770CF" w:rsidRDefault="006547E5" w:rsidP="00070152">
            <w:pPr>
              <w:jc w:val="center"/>
              <w:rPr>
                <w:rFonts w:ascii="Arial" w:hAnsi="Arial" w:cs="Arial"/>
                <w:szCs w:val="24"/>
              </w:rPr>
            </w:pPr>
            <w:r w:rsidRPr="000770CF">
              <w:rPr>
                <w:rFonts w:ascii="Arial" w:hAnsi="Arial" w:cs="Arial"/>
                <w:szCs w:val="24"/>
              </w:rPr>
              <w:t>33</w:t>
            </w:r>
          </w:p>
        </w:tc>
      </w:tr>
      <w:tr w:rsidR="006547E5" w:rsidRPr="000770CF" w14:paraId="63162A4D" w14:textId="77777777" w:rsidTr="00E42FF0">
        <w:tc>
          <w:tcPr>
            <w:tcW w:w="2830" w:type="dxa"/>
            <w:shd w:val="clear" w:color="auto" w:fill="00B0F0"/>
          </w:tcPr>
          <w:p w14:paraId="0564E61A" w14:textId="77777777" w:rsidR="006547E5" w:rsidRPr="000770CF" w:rsidRDefault="006547E5" w:rsidP="00070152">
            <w:pPr>
              <w:jc w:val="center"/>
              <w:rPr>
                <w:rFonts w:ascii="Arial" w:hAnsi="Arial" w:cs="Arial"/>
                <w:b/>
                <w:bCs/>
                <w:szCs w:val="24"/>
              </w:rPr>
            </w:pPr>
            <w:r w:rsidRPr="000770CF">
              <w:rPr>
                <w:rFonts w:ascii="Arial" w:hAnsi="Arial" w:cs="Arial"/>
                <w:b/>
                <w:bCs/>
                <w:szCs w:val="24"/>
              </w:rPr>
              <w:t>Locally emergent SIs ***</w:t>
            </w:r>
          </w:p>
        </w:tc>
        <w:tc>
          <w:tcPr>
            <w:tcW w:w="2203" w:type="dxa"/>
          </w:tcPr>
          <w:p w14:paraId="0ADC13BE" w14:textId="77777777" w:rsidR="006547E5" w:rsidRPr="000770CF" w:rsidRDefault="006547E5" w:rsidP="00070152">
            <w:pPr>
              <w:jc w:val="center"/>
              <w:rPr>
                <w:rFonts w:ascii="Arial" w:hAnsi="Arial" w:cs="Arial"/>
                <w:szCs w:val="24"/>
              </w:rPr>
            </w:pPr>
            <w:r w:rsidRPr="000770CF">
              <w:rPr>
                <w:rFonts w:ascii="Arial" w:hAnsi="Arial" w:cs="Arial"/>
                <w:szCs w:val="24"/>
              </w:rPr>
              <w:t>2</w:t>
            </w:r>
          </w:p>
        </w:tc>
        <w:tc>
          <w:tcPr>
            <w:tcW w:w="2204" w:type="dxa"/>
          </w:tcPr>
          <w:p w14:paraId="37EE1E84" w14:textId="77777777" w:rsidR="006547E5" w:rsidRPr="000770CF" w:rsidRDefault="006547E5" w:rsidP="00070152">
            <w:pPr>
              <w:jc w:val="center"/>
              <w:rPr>
                <w:rFonts w:ascii="Arial" w:hAnsi="Arial" w:cs="Arial"/>
                <w:szCs w:val="24"/>
              </w:rPr>
            </w:pPr>
            <w:r w:rsidRPr="000770CF">
              <w:rPr>
                <w:rFonts w:ascii="Arial" w:hAnsi="Arial" w:cs="Arial"/>
                <w:szCs w:val="24"/>
              </w:rPr>
              <w:t>6</w:t>
            </w:r>
          </w:p>
        </w:tc>
        <w:tc>
          <w:tcPr>
            <w:tcW w:w="2204" w:type="dxa"/>
          </w:tcPr>
          <w:p w14:paraId="45157429" w14:textId="77777777" w:rsidR="006547E5" w:rsidRPr="000770CF" w:rsidRDefault="006547E5" w:rsidP="00070152">
            <w:pPr>
              <w:jc w:val="center"/>
              <w:rPr>
                <w:rFonts w:ascii="Arial" w:hAnsi="Arial" w:cs="Arial"/>
                <w:szCs w:val="24"/>
              </w:rPr>
            </w:pPr>
            <w:r w:rsidRPr="000770CF">
              <w:rPr>
                <w:rFonts w:ascii="Arial" w:hAnsi="Arial" w:cs="Arial"/>
                <w:szCs w:val="24"/>
              </w:rPr>
              <w:t>1</w:t>
            </w:r>
          </w:p>
        </w:tc>
      </w:tr>
    </w:tbl>
    <w:p w14:paraId="2EFBC2DF" w14:textId="77777777" w:rsidR="00BD08AF" w:rsidRDefault="00BD08AF" w:rsidP="00BD08AF">
      <w:pPr>
        <w:rPr>
          <w:rFonts w:ascii="Arial" w:hAnsi="Arial" w:cs="Arial"/>
          <w:b/>
          <w:bCs/>
          <w:sz w:val="24"/>
          <w:szCs w:val="24"/>
        </w:rPr>
      </w:pPr>
    </w:p>
    <w:p w14:paraId="2781F25C" w14:textId="77777777" w:rsidR="006547E5" w:rsidRPr="00E42FF0" w:rsidRDefault="006547E5" w:rsidP="006547E5">
      <w:pPr>
        <w:rPr>
          <w:rFonts w:ascii="Arial" w:hAnsi="Arial" w:cs="Arial"/>
          <w:b/>
          <w:bCs/>
        </w:rPr>
      </w:pPr>
      <w:r w:rsidRPr="00E42FF0">
        <w:rPr>
          <w:rFonts w:ascii="Arial" w:hAnsi="Arial" w:cs="Arial"/>
          <w:b/>
          <w:bCs/>
        </w:rPr>
        <w:t xml:space="preserve">Table 2:  Current numbers of incidents as per category </w:t>
      </w:r>
    </w:p>
    <w:p w14:paraId="3F3B7955" w14:textId="77777777" w:rsidR="006547E5" w:rsidRPr="006547E5" w:rsidRDefault="006547E5" w:rsidP="006547E5">
      <w:pPr>
        <w:rPr>
          <w:rFonts w:ascii="Arial" w:hAnsi="Arial" w:cs="Arial"/>
        </w:rPr>
      </w:pPr>
      <w:r w:rsidRPr="006547E5">
        <w:rPr>
          <w:rFonts w:ascii="Arial" w:hAnsi="Arial" w:cs="Arial"/>
        </w:rPr>
        <w:t>* from priorities outlined above in section 2</w:t>
      </w:r>
    </w:p>
    <w:p w14:paraId="67AA7769" w14:textId="547ABD92" w:rsidR="006547E5" w:rsidRPr="006547E5" w:rsidRDefault="006547E5" w:rsidP="006547E5">
      <w:pPr>
        <w:rPr>
          <w:rFonts w:ascii="Arial" w:hAnsi="Arial" w:cs="Arial"/>
        </w:rPr>
      </w:pPr>
      <w:r w:rsidRPr="006547E5">
        <w:rPr>
          <w:rFonts w:ascii="Arial" w:hAnsi="Arial" w:cs="Arial"/>
        </w:rPr>
        <w:t xml:space="preserve">**Child </w:t>
      </w:r>
      <w:r w:rsidR="00E42FF0">
        <w:rPr>
          <w:rFonts w:ascii="Arial" w:hAnsi="Arial" w:cs="Arial"/>
        </w:rPr>
        <w:t>d</w:t>
      </w:r>
      <w:r w:rsidRPr="006547E5">
        <w:rPr>
          <w:rFonts w:ascii="Arial" w:hAnsi="Arial" w:cs="Arial"/>
        </w:rPr>
        <w:t xml:space="preserve">eath review and LeDeR data was not available for analysis </w:t>
      </w:r>
    </w:p>
    <w:p w14:paraId="586F33CC" w14:textId="76018574" w:rsidR="00032024" w:rsidRDefault="006547E5" w:rsidP="006547E5">
      <w:pPr>
        <w:rPr>
          <w:rFonts w:ascii="Arial" w:hAnsi="Arial" w:cs="Arial"/>
        </w:rPr>
      </w:pPr>
      <w:r w:rsidRPr="006547E5">
        <w:rPr>
          <w:rFonts w:ascii="Arial" w:hAnsi="Arial" w:cs="Arial"/>
        </w:rPr>
        <w:t>*** underreported as a specific cohort of SIs reported in 2023 occurred in this period</w:t>
      </w:r>
      <w:r w:rsidR="00032024">
        <w:rPr>
          <w:rFonts w:ascii="Arial" w:hAnsi="Arial" w:cs="Arial"/>
        </w:rPr>
        <w:br w:type="page"/>
      </w:r>
    </w:p>
    <w:p w14:paraId="0A9E7B83" w14:textId="3E506ABD" w:rsidR="006547E5" w:rsidRPr="006547E5" w:rsidRDefault="003B6F8A" w:rsidP="006547E5">
      <w:pPr>
        <w:rPr>
          <w:rFonts w:ascii="Arial" w:hAnsi="Arial" w:cs="Arial"/>
          <w:b/>
          <w:bCs/>
        </w:rPr>
      </w:pPr>
      <w:r>
        <w:rPr>
          <w:rFonts w:ascii="Arial" w:hAnsi="Arial" w:cs="Arial"/>
          <w:b/>
          <w:bCs/>
        </w:rPr>
        <w:lastRenderedPageBreak/>
        <w:t xml:space="preserve">8. </w:t>
      </w:r>
      <w:r w:rsidR="006547E5" w:rsidRPr="006547E5">
        <w:rPr>
          <w:rFonts w:ascii="Arial" w:hAnsi="Arial" w:cs="Arial"/>
          <w:b/>
          <w:bCs/>
        </w:rPr>
        <w:t xml:space="preserve">Projected workload </w:t>
      </w:r>
    </w:p>
    <w:p w14:paraId="7CF4F8AC" w14:textId="2798CC8C" w:rsidR="006547E5" w:rsidRPr="006547E5" w:rsidRDefault="006547E5" w:rsidP="006547E5">
      <w:pPr>
        <w:rPr>
          <w:rFonts w:ascii="Arial" w:hAnsi="Arial" w:cs="Arial"/>
        </w:rPr>
      </w:pPr>
      <w:r w:rsidRPr="006547E5">
        <w:rPr>
          <w:rFonts w:ascii="Arial" w:hAnsi="Arial" w:cs="Arial"/>
        </w:rPr>
        <w:t>Based on historic</w:t>
      </w:r>
      <w:r w:rsidR="00AC5336">
        <w:rPr>
          <w:rFonts w:ascii="Arial" w:hAnsi="Arial" w:cs="Arial"/>
        </w:rPr>
        <w:t>al</w:t>
      </w:r>
      <w:r w:rsidRPr="006547E5">
        <w:rPr>
          <w:rFonts w:ascii="Arial" w:hAnsi="Arial" w:cs="Arial"/>
        </w:rPr>
        <w:t xml:space="preserve"> data</w:t>
      </w:r>
      <w:r w:rsidR="00CD1FB1">
        <w:rPr>
          <w:rFonts w:ascii="Arial" w:hAnsi="Arial" w:cs="Arial"/>
        </w:rPr>
        <w:t xml:space="preserve"> over the course of a year</w:t>
      </w:r>
      <w:r w:rsidRPr="006547E5">
        <w:rPr>
          <w:rFonts w:ascii="Arial" w:hAnsi="Arial" w:cs="Arial"/>
        </w:rPr>
        <w:t>:</w:t>
      </w:r>
    </w:p>
    <w:p w14:paraId="5CF4E581" w14:textId="62F7FF60" w:rsidR="006547E5" w:rsidRPr="00AC5336" w:rsidRDefault="006547E5" w:rsidP="00AC5336">
      <w:pPr>
        <w:pStyle w:val="ListParagraph"/>
        <w:numPr>
          <w:ilvl w:val="0"/>
          <w:numId w:val="6"/>
        </w:numPr>
        <w:rPr>
          <w:sz w:val="22"/>
        </w:rPr>
      </w:pPr>
      <w:r w:rsidRPr="00AC5336">
        <w:rPr>
          <w:sz w:val="22"/>
        </w:rPr>
        <w:t>average 6-8 external investigations with MNSI (</w:t>
      </w:r>
      <w:r w:rsidR="00CE7DF3">
        <w:rPr>
          <w:sz w:val="22"/>
        </w:rPr>
        <w:t>terms of reference</w:t>
      </w:r>
      <w:r w:rsidR="00CE7DF3" w:rsidRPr="00AC5336">
        <w:rPr>
          <w:sz w:val="22"/>
        </w:rPr>
        <w:t xml:space="preserve"> </w:t>
      </w:r>
      <w:r w:rsidRPr="00AC5336">
        <w:rPr>
          <w:sz w:val="22"/>
        </w:rPr>
        <w:t>unchanged to date)</w:t>
      </w:r>
    </w:p>
    <w:p w14:paraId="6089007F" w14:textId="77777777" w:rsidR="00AC5336" w:rsidRPr="00AC5336" w:rsidRDefault="006547E5" w:rsidP="006547E5">
      <w:pPr>
        <w:pStyle w:val="ListParagraph"/>
        <w:numPr>
          <w:ilvl w:val="0"/>
          <w:numId w:val="6"/>
        </w:numPr>
        <w:rPr>
          <w:sz w:val="22"/>
        </w:rPr>
      </w:pPr>
      <w:r w:rsidRPr="00AC5336">
        <w:rPr>
          <w:sz w:val="22"/>
        </w:rPr>
        <w:t>4 - 6 other national priority/NE investigations per year</w:t>
      </w:r>
    </w:p>
    <w:p w14:paraId="62DCB8DA" w14:textId="4BB5CB95" w:rsidR="006547E5" w:rsidRPr="00AC5336" w:rsidRDefault="006547E5" w:rsidP="006547E5">
      <w:pPr>
        <w:pStyle w:val="ListParagraph"/>
        <w:numPr>
          <w:ilvl w:val="0"/>
          <w:numId w:val="6"/>
        </w:numPr>
        <w:rPr>
          <w:sz w:val="22"/>
        </w:rPr>
      </w:pPr>
      <w:r w:rsidRPr="00AC5336">
        <w:rPr>
          <w:sz w:val="22"/>
        </w:rPr>
        <w:t xml:space="preserve">5 – 8 local emergent investigations </w:t>
      </w:r>
      <w:r w:rsidR="006C5184">
        <w:rPr>
          <w:sz w:val="22"/>
        </w:rPr>
        <w:t>with cross cutting themes.</w:t>
      </w:r>
    </w:p>
    <w:p w14:paraId="14D2D52B" w14:textId="4D148D6D" w:rsidR="006547E5" w:rsidRDefault="00AC5336" w:rsidP="004316A3">
      <w:pPr>
        <w:jc w:val="both"/>
        <w:rPr>
          <w:rFonts w:ascii="Arial" w:hAnsi="Arial" w:cs="Arial"/>
        </w:rPr>
      </w:pPr>
      <w:r>
        <w:rPr>
          <w:rFonts w:ascii="Arial" w:hAnsi="Arial" w:cs="Arial"/>
        </w:rPr>
        <w:t xml:space="preserve">There will be an estimated </w:t>
      </w:r>
      <w:r w:rsidR="006547E5" w:rsidRPr="006547E5">
        <w:rPr>
          <w:rFonts w:ascii="Arial" w:hAnsi="Arial" w:cs="Arial"/>
        </w:rPr>
        <w:t xml:space="preserve">20 local defined investigations with triage determining proportionate action focussing on improvement </w:t>
      </w:r>
      <w:r w:rsidR="00CE7DF3">
        <w:rPr>
          <w:rFonts w:ascii="Arial" w:hAnsi="Arial" w:cs="Arial"/>
        </w:rPr>
        <w:t>through the relevant clinical board,</w:t>
      </w:r>
      <w:r w:rsidR="006547E5" w:rsidRPr="006547E5">
        <w:rPr>
          <w:rFonts w:ascii="Arial" w:hAnsi="Arial" w:cs="Arial"/>
        </w:rPr>
        <w:t xml:space="preserve"> with support from the allocated CGARD/NI and </w:t>
      </w:r>
      <w:r w:rsidR="00E42FF0" w:rsidRPr="00E42FF0">
        <w:rPr>
          <w:rFonts w:ascii="Arial" w:hAnsi="Arial" w:cs="Arial"/>
        </w:rPr>
        <w:t>clinical</w:t>
      </w:r>
      <w:r w:rsidR="00E3621C">
        <w:rPr>
          <w:rFonts w:ascii="Arial" w:hAnsi="Arial" w:cs="Arial"/>
        </w:rPr>
        <w:t xml:space="preserve"> </w:t>
      </w:r>
      <w:r w:rsidR="00E42FF0">
        <w:rPr>
          <w:rFonts w:ascii="Arial" w:hAnsi="Arial" w:cs="Arial"/>
        </w:rPr>
        <w:t>d</w:t>
      </w:r>
      <w:r w:rsidR="00E3621C">
        <w:rPr>
          <w:rFonts w:ascii="Arial" w:hAnsi="Arial" w:cs="Arial"/>
        </w:rPr>
        <w:t>irector</w:t>
      </w:r>
      <w:r w:rsidR="006547E5" w:rsidRPr="006547E5">
        <w:rPr>
          <w:rFonts w:ascii="Arial" w:hAnsi="Arial" w:cs="Arial"/>
        </w:rPr>
        <w:t xml:space="preserve"> links </w:t>
      </w:r>
      <w:r>
        <w:rPr>
          <w:rFonts w:ascii="Arial" w:hAnsi="Arial" w:cs="Arial"/>
        </w:rPr>
        <w:t>(</w:t>
      </w:r>
      <w:r w:rsidR="006547E5" w:rsidRPr="006547E5">
        <w:rPr>
          <w:rFonts w:ascii="Arial" w:hAnsi="Arial" w:cs="Arial"/>
        </w:rPr>
        <w:t xml:space="preserve">see section </w:t>
      </w:r>
      <w:r w:rsidR="009F6A28">
        <w:rPr>
          <w:rFonts w:ascii="Arial" w:hAnsi="Arial" w:cs="Arial"/>
        </w:rPr>
        <w:t>9</w:t>
      </w:r>
      <w:r w:rsidR="006547E5" w:rsidRPr="006547E5">
        <w:rPr>
          <w:rFonts w:ascii="Arial" w:hAnsi="Arial" w:cs="Arial"/>
        </w:rPr>
        <w:t xml:space="preserve"> Responding to incidents</w:t>
      </w:r>
      <w:r>
        <w:rPr>
          <w:rFonts w:ascii="Arial" w:hAnsi="Arial" w:cs="Arial"/>
        </w:rPr>
        <w:t>)</w:t>
      </w:r>
      <w:r w:rsidR="006547E5" w:rsidRPr="006547E5">
        <w:rPr>
          <w:rFonts w:ascii="Arial" w:hAnsi="Arial" w:cs="Arial"/>
        </w:rPr>
        <w:t xml:space="preserve">. </w:t>
      </w:r>
    </w:p>
    <w:p w14:paraId="6A4B3385" w14:textId="3EE9348F" w:rsidR="00471F89" w:rsidRPr="006547E5" w:rsidRDefault="00471F89" w:rsidP="004316A3">
      <w:pPr>
        <w:jc w:val="both"/>
        <w:rPr>
          <w:rFonts w:ascii="Arial" w:hAnsi="Arial" w:cs="Arial"/>
        </w:rPr>
      </w:pPr>
      <w:r>
        <w:rPr>
          <w:rFonts w:ascii="Arial" w:hAnsi="Arial" w:cs="Arial"/>
        </w:rPr>
        <w:t xml:space="preserve">The remaining incidents </w:t>
      </w:r>
      <w:r w:rsidRPr="006547E5">
        <w:rPr>
          <w:rFonts w:ascii="Arial" w:hAnsi="Arial" w:cs="Arial"/>
        </w:rPr>
        <w:t xml:space="preserve">(fit priorities, known contributory factors, align to improvement </w:t>
      </w:r>
      <w:r w:rsidR="004316A3" w:rsidRPr="006547E5">
        <w:rPr>
          <w:rFonts w:ascii="Arial" w:hAnsi="Arial" w:cs="Arial"/>
        </w:rPr>
        <w:t xml:space="preserve">work) </w:t>
      </w:r>
      <w:r w:rsidR="004316A3">
        <w:rPr>
          <w:rFonts w:ascii="Arial" w:hAnsi="Arial" w:cs="Arial"/>
        </w:rPr>
        <w:t>that</w:t>
      </w:r>
      <w:r>
        <w:rPr>
          <w:rFonts w:ascii="Arial" w:hAnsi="Arial" w:cs="Arial"/>
        </w:rPr>
        <w:t xml:space="preserve"> would previously have required an investigation under the SI framework will be closed by the boards and do not require investigation (See section 9 Responding to Incidents).</w:t>
      </w:r>
    </w:p>
    <w:p w14:paraId="77489B4C" w14:textId="7910B976" w:rsidR="006547E5" w:rsidRPr="006547E5" w:rsidRDefault="00E93C29" w:rsidP="004316A3">
      <w:pPr>
        <w:jc w:val="both"/>
        <w:rPr>
          <w:rFonts w:ascii="Arial" w:hAnsi="Arial" w:cs="Arial"/>
        </w:rPr>
      </w:pPr>
      <w:r>
        <w:rPr>
          <w:rFonts w:ascii="Arial" w:hAnsi="Arial" w:cs="Arial"/>
        </w:rPr>
        <w:t>Based on historical data w</w:t>
      </w:r>
      <w:r w:rsidR="006547E5" w:rsidRPr="006547E5">
        <w:rPr>
          <w:rFonts w:ascii="Arial" w:hAnsi="Arial" w:cs="Arial"/>
        </w:rPr>
        <w:t>e anticipate that the majority of these investigations will be concentrated in four Clinical Boards; Womens, Cardiothoracics, Medicine and Surgery. These Boards will be targeted for enhanced support during the first 12-18 months</w:t>
      </w:r>
      <w:r w:rsidR="00471F89">
        <w:rPr>
          <w:rFonts w:ascii="Arial" w:hAnsi="Arial" w:cs="Arial"/>
        </w:rPr>
        <w:t xml:space="preserve"> (</w:t>
      </w:r>
      <w:r w:rsidR="006547E5" w:rsidRPr="006547E5">
        <w:rPr>
          <w:rFonts w:ascii="Arial" w:hAnsi="Arial" w:cs="Arial"/>
        </w:rPr>
        <w:t xml:space="preserve">see section </w:t>
      </w:r>
      <w:r w:rsidR="00941641">
        <w:rPr>
          <w:rFonts w:ascii="Arial" w:hAnsi="Arial" w:cs="Arial"/>
        </w:rPr>
        <w:t>9</w:t>
      </w:r>
      <w:r w:rsidR="006547E5" w:rsidRPr="006547E5">
        <w:rPr>
          <w:rFonts w:ascii="Arial" w:hAnsi="Arial" w:cs="Arial"/>
        </w:rPr>
        <w:t>: Responding to incidents</w:t>
      </w:r>
      <w:r w:rsidR="00471F89">
        <w:rPr>
          <w:rFonts w:ascii="Arial" w:hAnsi="Arial" w:cs="Arial"/>
        </w:rPr>
        <w:t>)</w:t>
      </w:r>
      <w:r w:rsidR="006547E5" w:rsidRPr="006547E5">
        <w:rPr>
          <w:rFonts w:ascii="Arial" w:hAnsi="Arial" w:cs="Arial"/>
        </w:rPr>
        <w:t>.</w:t>
      </w:r>
    </w:p>
    <w:p w14:paraId="08BF6A09" w14:textId="2F61347D" w:rsidR="006547E5" w:rsidRDefault="006547E5" w:rsidP="004316A3">
      <w:pPr>
        <w:jc w:val="both"/>
        <w:rPr>
          <w:rFonts w:ascii="Arial" w:hAnsi="Arial" w:cs="Arial"/>
        </w:rPr>
      </w:pPr>
      <w:r w:rsidRPr="006547E5">
        <w:rPr>
          <w:rFonts w:ascii="Arial" w:hAnsi="Arial" w:cs="Arial"/>
        </w:rPr>
        <w:t>There will be a quality assurance process in place for supporting the Boards with these investigations at each stage</w:t>
      </w:r>
      <w:r w:rsidR="004316A3">
        <w:rPr>
          <w:rFonts w:ascii="Arial" w:hAnsi="Arial" w:cs="Arial"/>
        </w:rPr>
        <w:t xml:space="preserve">. </w:t>
      </w:r>
    </w:p>
    <w:p w14:paraId="687C2E8E" w14:textId="77777777" w:rsidR="00032024" w:rsidRDefault="00032024" w:rsidP="004316A3">
      <w:pPr>
        <w:jc w:val="both"/>
        <w:rPr>
          <w:rFonts w:ascii="Arial" w:hAnsi="Arial" w:cs="Arial"/>
        </w:rPr>
      </w:pPr>
    </w:p>
    <w:p w14:paraId="2D2D19CB" w14:textId="445952D8" w:rsidR="006547E5" w:rsidRDefault="003B6F8A" w:rsidP="006547E5">
      <w:pPr>
        <w:rPr>
          <w:rFonts w:ascii="Arial" w:hAnsi="Arial" w:cs="Arial"/>
          <w:b/>
          <w:bCs/>
          <w:sz w:val="24"/>
          <w:szCs w:val="24"/>
        </w:rPr>
      </w:pPr>
      <w:r>
        <w:rPr>
          <w:rFonts w:ascii="Arial" w:hAnsi="Arial" w:cs="Arial"/>
          <w:b/>
          <w:bCs/>
          <w:sz w:val="24"/>
          <w:szCs w:val="24"/>
        </w:rPr>
        <w:t xml:space="preserve">9. </w:t>
      </w:r>
      <w:r w:rsidR="006547E5" w:rsidRPr="006547E5">
        <w:rPr>
          <w:rFonts w:ascii="Arial" w:hAnsi="Arial" w:cs="Arial"/>
          <w:b/>
          <w:bCs/>
          <w:sz w:val="24"/>
          <w:szCs w:val="24"/>
        </w:rPr>
        <w:t>Responding to incidents</w:t>
      </w:r>
    </w:p>
    <w:p w14:paraId="37E03467" w14:textId="7B052517" w:rsidR="005F06F8" w:rsidRDefault="006377F5" w:rsidP="0000598B">
      <w:pPr>
        <w:jc w:val="both"/>
        <w:rPr>
          <w:rFonts w:ascii="Arial" w:hAnsi="Arial" w:cs="Arial"/>
        </w:rPr>
      </w:pPr>
      <w:r w:rsidRPr="006377F5">
        <w:rPr>
          <w:rFonts w:ascii="Arial" w:hAnsi="Arial" w:cs="Arial"/>
        </w:rPr>
        <w:t xml:space="preserve">The chart below outlines the Trust response to reported </w:t>
      </w:r>
      <w:r w:rsidR="00810DD2">
        <w:rPr>
          <w:rFonts w:ascii="Arial" w:hAnsi="Arial" w:cs="Arial"/>
        </w:rPr>
        <w:t>incidents</w:t>
      </w:r>
      <w:r w:rsidRPr="006377F5">
        <w:rPr>
          <w:rFonts w:ascii="Arial" w:hAnsi="Arial" w:cs="Arial"/>
        </w:rPr>
        <w:t xml:space="preserve">. Each step and those responsible is described in further detail within the Trust </w:t>
      </w:r>
      <w:r w:rsidR="00E42FF0">
        <w:rPr>
          <w:rFonts w:ascii="Arial" w:hAnsi="Arial" w:cs="Arial"/>
        </w:rPr>
        <w:t>i</w:t>
      </w:r>
      <w:r w:rsidRPr="006377F5">
        <w:rPr>
          <w:rFonts w:ascii="Arial" w:hAnsi="Arial" w:cs="Arial"/>
        </w:rPr>
        <w:t xml:space="preserve">ncident </w:t>
      </w:r>
      <w:r w:rsidR="00E42FF0">
        <w:rPr>
          <w:rFonts w:ascii="Arial" w:hAnsi="Arial" w:cs="Arial"/>
        </w:rPr>
        <w:t>m</w:t>
      </w:r>
      <w:r w:rsidRPr="006377F5">
        <w:rPr>
          <w:rFonts w:ascii="Arial" w:hAnsi="Arial" w:cs="Arial"/>
        </w:rPr>
        <w:t xml:space="preserve">anagement policy. To ensure resource to focus on improvement is available the response to </w:t>
      </w:r>
      <w:r w:rsidR="00810DD2">
        <w:rPr>
          <w:rFonts w:ascii="Arial" w:hAnsi="Arial" w:cs="Arial"/>
        </w:rPr>
        <w:t>i</w:t>
      </w:r>
      <w:r w:rsidRPr="006377F5">
        <w:rPr>
          <w:rFonts w:ascii="Arial" w:hAnsi="Arial" w:cs="Arial"/>
        </w:rPr>
        <w:t xml:space="preserve">ncidents must be proportionate. The ongoing monitoring and assessment of trends and themes will provide the assurance and confidence that we are responding appropriately and proportionately to patient safety </w:t>
      </w:r>
      <w:r w:rsidR="00E42FF0">
        <w:rPr>
          <w:rFonts w:ascii="Arial" w:hAnsi="Arial" w:cs="Arial"/>
        </w:rPr>
        <w:t>i</w:t>
      </w:r>
      <w:r w:rsidRPr="006377F5">
        <w:rPr>
          <w:rFonts w:ascii="Arial" w:hAnsi="Arial" w:cs="Arial"/>
        </w:rPr>
        <w:t xml:space="preserve">ncidents. Duty of Candour must be implemented for any </w:t>
      </w:r>
      <w:r w:rsidR="00810DD2">
        <w:rPr>
          <w:rFonts w:ascii="Arial" w:hAnsi="Arial" w:cs="Arial"/>
        </w:rPr>
        <w:t>i</w:t>
      </w:r>
      <w:r w:rsidRPr="006377F5">
        <w:rPr>
          <w:rFonts w:ascii="Arial" w:hAnsi="Arial" w:cs="Arial"/>
        </w:rPr>
        <w:t xml:space="preserve">ncident meeting the </w:t>
      </w:r>
      <w:r w:rsidR="00E93C29">
        <w:rPr>
          <w:rFonts w:ascii="Arial" w:hAnsi="Arial" w:cs="Arial"/>
        </w:rPr>
        <w:t xml:space="preserve">regulatory </w:t>
      </w:r>
      <w:r w:rsidRPr="006377F5">
        <w:rPr>
          <w:rFonts w:ascii="Arial" w:hAnsi="Arial" w:cs="Arial"/>
        </w:rPr>
        <w:t>requirement.</w:t>
      </w:r>
    </w:p>
    <w:p w14:paraId="483EEC42" w14:textId="1D9DF242" w:rsidR="005F06F8" w:rsidRDefault="005F06F8" w:rsidP="006547E5">
      <w:pPr>
        <w:rPr>
          <w:rFonts w:ascii="Arial" w:hAnsi="Arial" w:cs="Arial"/>
        </w:rPr>
      </w:pPr>
      <w:r>
        <w:rPr>
          <w:noProof/>
          <w:lang w:eastAsia="en-GB"/>
        </w:rPr>
        <w:lastRenderedPageBreak/>
        <w:drawing>
          <wp:anchor distT="0" distB="0" distL="0" distR="0" simplePos="0" relativeHeight="251659264" behindDoc="0" locked="0" layoutInCell="1" allowOverlap="1" wp14:anchorId="4F6388B8" wp14:editId="1E3F8AFF">
            <wp:simplePos x="0" y="0"/>
            <wp:positionH relativeFrom="margin">
              <wp:align>right</wp:align>
            </wp:positionH>
            <wp:positionV relativeFrom="paragraph">
              <wp:posOffset>274320</wp:posOffset>
            </wp:positionV>
            <wp:extent cx="5729605" cy="3072130"/>
            <wp:effectExtent l="0" t="0" r="4445" b="0"/>
            <wp:wrapTopAndBottom/>
            <wp:docPr id="7" name="image3.jpeg"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descr="A diagram of a company&#10;&#10;Description automatically generated"/>
                    <pic:cNvPicPr/>
                  </pic:nvPicPr>
                  <pic:blipFill>
                    <a:blip r:embed="rId17" cstate="print"/>
                    <a:stretch>
                      <a:fillRect/>
                    </a:stretch>
                  </pic:blipFill>
                  <pic:spPr>
                    <a:xfrm>
                      <a:off x="0" y="0"/>
                      <a:ext cx="5729605" cy="3072130"/>
                    </a:xfrm>
                    <a:prstGeom prst="rect">
                      <a:avLst/>
                    </a:prstGeom>
                  </pic:spPr>
                </pic:pic>
              </a:graphicData>
            </a:graphic>
            <wp14:sizeRelH relativeFrom="margin">
              <wp14:pctWidth>0</wp14:pctWidth>
            </wp14:sizeRelH>
            <wp14:sizeRelV relativeFrom="margin">
              <wp14:pctHeight>0</wp14:pctHeight>
            </wp14:sizeRelV>
          </wp:anchor>
        </w:drawing>
      </w:r>
    </w:p>
    <w:p w14:paraId="322909D4" w14:textId="77777777" w:rsidR="00173320" w:rsidRDefault="00173320" w:rsidP="006547E5">
      <w:pPr>
        <w:rPr>
          <w:rFonts w:ascii="Arial" w:hAnsi="Arial" w:cs="Arial"/>
          <w:b/>
          <w:bCs/>
          <w:sz w:val="24"/>
          <w:szCs w:val="24"/>
        </w:rPr>
      </w:pPr>
    </w:p>
    <w:p w14:paraId="4E9A2B14" w14:textId="647E84E9" w:rsidR="005F06F8" w:rsidRDefault="003B6F8A" w:rsidP="006547E5">
      <w:pPr>
        <w:rPr>
          <w:rFonts w:ascii="Arial" w:hAnsi="Arial" w:cs="Arial"/>
          <w:b/>
          <w:bCs/>
          <w:sz w:val="24"/>
          <w:szCs w:val="24"/>
        </w:rPr>
      </w:pPr>
      <w:r>
        <w:rPr>
          <w:rFonts w:ascii="Arial" w:hAnsi="Arial" w:cs="Arial"/>
          <w:b/>
          <w:bCs/>
          <w:sz w:val="24"/>
          <w:szCs w:val="24"/>
        </w:rPr>
        <w:t xml:space="preserve">10. </w:t>
      </w:r>
      <w:r w:rsidR="005F06F8" w:rsidRPr="005F06F8">
        <w:rPr>
          <w:rFonts w:ascii="Arial" w:hAnsi="Arial" w:cs="Arial"/>
          <w:b/>
          <w:bCs/>
          <w:sz w:val="24"/>
          <w:szCs w:val="24"/>
        </w:rPr>
        <w:t xml:space="preserve">Responding to </w:t>
      </w:r>
      <w:r w:rsidR="00E42FF0">
        <w:rPr>
          <w:rFonts w:ascii="Arial" w:hAnsi="Arial" w:cs="Arial"/>
          <w:b/>
          <w:bCs/>
          <w:sz w:val="24"/>
          <w:szCs w:val="24"/>
        </w:rPr>
        <w:t>n</w:t>
      </w:r>
      <w:r w:rsidR="005F06F8" w:rsidRPr="005F06F8">
        <w:rPr>
          <w:rFonts w:ascii="Arial" w:hAnsi="Arial" w:cs="Arial"/>
          <w:b/>
          <w:bCs/>
          <w:sz w:val="24"/>
          <w:szCs w:val="24"/>
        </w:rPr>
        <w:t xml:space="preserve">ational or regulatory incidents </w:t>
      </w:r>
    </w:p>
    <w:p w14:paraId="7CD5F89A" w14:textId="75C20A19" w:rsidR="005F06F8" w:rsidRDefault="000E5EF5" w:rsidP="0000598B">
      <w:pPr>
        <w:jc w:val="both"/>
        <w:rPr>
          <w:rFonts w:ascii="Arial" w:hAnsi="Arial" w:cs="Arial"/>
        </w:rPr>
      </w:pPr>
      <w:r w:rsidRPr="000E5EF5">
        <w:rPr>
          <w:rFonts w:ascii="Arial" w:hAnsi="Arial" w:cs="Arial"/>
        </w:rPr>
        <w:t xml:space="preserve">Some patient safety </w:t>
      </w:r>
      <w:r w:rsidR="00810DD2">
        <w:rPr>
          <w:rFonts w:ascii="Arial" w:hAnsi="Arial" w:cs="Arial"/>
        </w:rPr>
        <w:t>i</w:t>
      </w:r>
      <w:r w:rsidRPr="000E5EF5">
        <w:rPr>
          <w:rFonts w:ascii="Arial" w:hAnsi="Arial" w:cs="Arial"/>
        </w:rPr>
        <w:t xml:space="preserve">ncidents require a specific type of response as set out in national policies or regulations. These responses will include an internal trust patient safety </w:t>
      </w:r>
      <w:r w:rsidR="00810DD2">
        <w:rPr>
          <w:rFonts w:ascii="Arial" w:hAnsi="Arial" w:cs="Arial"/>
        </w:rPr>
        <w:t>i</w:t>
      </w:r>
      <w:r w:rsidRPr="000E5EF5">
        <w:rPr>
          <w:rFonts w:ascii="Arial" w:hAnsi="Arial" w:cs="Arial"/>
        </w:rPr>
        <w:t xml:space="preserve">ncident </w:t>
      </w:r>
      <w:r w:rsidR="00810DD2">
        <w:rPr>
          <w:rFonts w:ascii="Arial" w:hAnsi="Arial" w:cs="Arial"/>
        </w:rPr>
        <w:t>i</w:t>
      </w:r>
      <w:r w:rsidRPr="000E5EF5">
        <w:rPr>
          <w:rFonts w:ascii="Arial" w:hAnsi="Arial" w:cs="Arial"/>
        </w:rPr>
        <w:t xml:space="preserve">nvestigation or review by or referral to another body or team, depending on the nature of the </w:t>
      </w:r>
      <w:r w:rsidR="00810DD2">
        <w:rPr>
          <w:rFonts w:ascii="Arial" w:hAnsi="Arial" w:cs="Arial"/>
        </w:rPr>
        <w:t>i</w:t>
      </w:r>
      <w:r w:rsidRPr="000E5EF5">
        <w:rPr>
          <w:rFonts w:ascii="Arial" w:hAnsi="Arial" w:cs="Arial"/>
        </w:rPr>
        <w:t xml:space="preserve">ncident. The table below sets out the </w:t>
      </w:r>
      <w:r w:rsidR="00810DD2">
        <w:rPr>
          <w:rFonts w:ascii="Arial" w:hAnsi="Arial" w:cs="Arial"/>
        </w:rPr>
        <w:t xml:space="preserve">current </w:t>
      </w:r>
      <w:r w:rsidRPr="000E5EF5">
        <w:rPr>
          <w:rFonts w:ascii="Arial" w:hAnsi="Arial" w:cs="Arial"/>
        </w:rPr>
        <w:t xml:space="preserve">nationally mandated responses for national </w:t>
      </w:r>
      <w:r w:rsidR="00810DD2">
        <w:rPr>
          <w:rFonts w:ascii="Arial" w:hAnsi="Arial" w:cs="Arial"/>
        </w:rPr>
        <w:t>i</w:t>
      </w:r>
      <w:r w:rsidRPr="000E5EF5">
        <w:rPr>
          <w:rFonts w:ascii="Arial" w:hAnsi="Arial" w:cs="Arial"/>
        </w:rPr>
        <w:t>ncidents.</w:t>
      </w:r>
    </w:p>
    <w:tbl>
      <w:tblPr>
        <w:tblStyle w:val="TableGrid"/>
        <w:tblW w:w="0" w:type="auto"/>
        <w:tblLook w:val="04A0" w:firstRow="1" w:lastRow="0" w:firstColumn="1" w:lastColumn="0" w:noHBand="0" w:noVBand="1"/>
      </w:tblPr>
      <w:tblGrid>
        <w:gridCol w:w="3005"/>
        <w:gridCol w:w="3005"/>
        <w:gridCol w:w="3006"/>
      </w:tblGrid>
      <w:tr w:rsidR="000E5EF5" w:rsidRPr="00E42FF0" w14:paraId="23DBB16B" w14:textId="77777777" w:rsidTr="00DA65F8">
        <w:tc>
          <w:tcPr>
            <w:tcW w:w="3005" w:type="dxa"/>
            <w:shd w:val="clear" w:color="auto" w:fill="00B0F0"/>
          </w:tcPr>
          <w:p w14:paraId="61735F83" w14:textId="77777777" w:rsidR="000E5EF5" w:rsidRPr="00E42FF0" w:rsidRDefault="000E5EF5" w:rsidP="00070152">
            <w:pPr>
              <w:rPr>
                <w:rFonts w:ascii="Arial" w:hAnsi="Arial" w:cs="Arial"/>
                <w:b/>
                <w:bCs/>
                <w:sz w:val="20"/>
                <w:szCs w:val="20"/>
              </w:rPr>
            </w:pPr>
            <w:r w:rsidRPr="00E42FF0">
              <w:rPr>
                <w:rFonts w:ascii="Arial" w:hAnsi="Arial" w:cs="Arial"/>
                <w:b/>
                <w:bCs/>
                <w:sz w:val="20"/>
                <w:szCs w:val="20"/>
              </w:rPr>
              <w:t xml:space="preserve">Incident </w:t>
            </w:r>
          </w:p>
          <w:p w14:paraId="4886CB9E" w14:textId="77777777" w:rsidR="000E5EF5" w:rsidRPr="00E42FF0" w:rsidRDefault="000E5EF5" w:rsidP="00070152">
            <w:pPr>
              <w:rPr>
                <w:rFonts w:ascii="Arial" w:hAnsi="Arial" w:cs="Arial"/>
                <w:b/>
                <w:bCs/>
                <w:sz w:val="20"/>
                <w:szCs w:val="20"/>
              </w:rPr>
            </w:pPr>
          </w:p>
        </w:tc>
        <w:tc>
          <w:tcPr>
            <w:tcW w:w="3005" w:type="dxa"/>
            <w:shd w:val="clear" w:color="auto" w:fill="EB396C"/>
          </w:tcPr>
          <w:p w14:paraId="763E38D3" w14:textId="77777777" w:rsidR="000E5EF5" w:rsidRPr="00E42FF0" w:rsidRDefault="000E5EF5" w:rsidP="00070152">
            <w:pPr>
              <w:rPr>
                <w:rFonts w:ascii="Arial" w:hAnsi="Arial" w:cs="Arial"/>
                <w:b/>
                <w:bCs/>
                <w:color w:val="C45911" w:themeColor="accent2" w:themeShade="BF"/>
                <w:sz w:val="20"/>
                <w:szCs w:val="20"/>
              </w:rPr>
            </w:pPr>
            <w:r w:rsidRPr="00E42FF0">
              <w:rPr>
                <w:rFonts w:ascii="Arial" w:hAnsi="Arial" w:cs="Arial"/>
                <w:b/>
                <w:bCs/>
                <w:sz w:val="20"/>
                <w:szCs w:val="20"/>
              </w:rPr>
              <w:t xml:space="preserve">Response Assessment </w:t>
            </w:r>
          </w:p>
        </w:tc>
        <w:tc>
          <w:tcPr>
            <w:tcW w:w="3006" w:type="dxa"/>
            <w:shd w:val="clear" w:color="auto" w:fill="BFBFBF" w:themeFill="background1" w:themeFillShade="BF"/>
          </w:tcPr>
          <w:p w14:paraId="4C16DAFB" w14:textId="77777777" w:rsidR="000E5EF5" w:rsidRPr="00E42FF0" w:rsidRDefault="000E5EF5" w:rsidP="00070152">
            <w:pPr>
              <w:rPr>
                <w:rFonts w:ascii="Arial" w:hAnsi="Arial" w:cs="Arial"/>
                <w:b/>
                <w:bCs/>
                <w:sz w:val="20"/>
                <w:szCs w:val="20"/>
              </w:rPr>
            </w:pPr>
            <w:r w:rsidRPr="00E42FF0">
              <w:rPr>
                <w:rFonts w:ascii="Arial" w:hAnsi="Arial" w:cs="Arial"/>
                <w:b/>
                <w:bCs/>
                <w:sz w:val="20"/>
                <w:szCs w:val="20"/>
              </w:rPr>
              <w:t>Response Action</w:t>
            </w:r>
          </w:p>
        </w:tc>
      </w:tr>
      <w:tr w:rsidR="000E5EF5" w:rsidRPr="00E42FF0" w14:paraId="61C8EFEC" w14:textId="77777777" w:rsidTr="00070152">
        <w:tc>
          <w:tcPr>
            <w:tcW w:w="3005" w:type="dxa"/>
          </w:tcPr>
          <w:p w14:paraId="3E320E5E"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Incidents meeting the Never Events Criteria 2018 </w:t>
            </w:r>
          </w:p>
        </w:tc>
        <w:tc>
          <w:tcPr>
            <w:tcW w:w="3005" w:type="dxa"/>
          </w:tcPr>
          <w:p w14:paraId="215E0457"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Assess against any improvement plans </w:t>
            </w:r>
          </w:p>
        </w:tc>
        <w:tc>
          <w:tcPr>
            <w:tcW w:w="3006" w:type="dxa"/>
          </w:tcPr>
          <w:p w14:paraId="2ED94F6E" w14:textId="77777777" w:rsidR="000E5EF5" w:rsidRPr="00E42FF0" w:rsidRDefault="000E5EF5" w:rsidP="00070152">
            <w:pPr>
              <w:rPr>
                <w:rFonts w:ascii="Arial" w:hAnsi="Arial" w:cs="Arial"/>
                <w:sz w:val="20"/>
                <w:szCs w:val="20"/>
              </w:rPr>
            </w:pPr>
            <w:r w:rsidRPr="00E42FF0">
              <w:rPr>
                <w:rFonts w:ascii="Arial" w:hAnsi="Arial" w:cs="Arial"/>
                <w:sz w:val="20"/>
                <w:szCs w:val="20"/>
              </w:rPr>
              <w:t>Patient Safety Incident Investigation (PSII) Align with improvement plans or if trend/theme submit for trust improvement</w:t>
            </w:r>
          </w:p>
        </w:tc>
      </w:tr>
      <w:tr w:rsidR="000E5EF5" w:rsidRPr="00E42FF0" w14:paraId="778A8A6C" w14:textId="77777777" w:rsidTr="00070152">
        <w:tc>
          <w:tcPr>
            <w:tcW w:w="3005" w:type="dxa"/>
          </w:tcPr>
          <w:p w14:paraId="74A91D14" w14:textId="77777777" w:rsidR="000E5EF5" w:rsidRPr="00E42FF0" w:rsidRDefault="000E5EF5" w:rsidP="00070152">
            <w:pPr>
              <w:rPr>
                <w:rFonts w:ascii="Arial" w:hAnsi="Arial" w:cs="Arial"/>
                <w:sz w:val="20"/>
                <w:szCs w:val="20"/>
              </w:rPr>
            </w:pPr>
            <w:r w:rsidRPr="00E42FF0">
              <w:rPr>
                <w:rFonts w:ascii="Arial" w:hAnsi="Arial" w:cs="Arial"/>
                <w:sz w:val="20"/>
                <w:szCs w:val="20"/>
              </w:rPr>
              <w:t>Deaths thought more likely than not to be due to problems in care</w:t>
            </w:r>
          </w:p>
        </w:tc>
        <w:tc>
          <w:tcPr>
            <w:tcW w:w="3005" w:type="dxa"/>
          </w:tcPr>
          <w:p w14:paraId="16CD7B22"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Assess against any improvement plans </w:t>
            </w:r>
          </w:p>
        </w:tc>
        <w:tc>
          <w:tcPr>
            <w:tcW w:w="3006" w:type="dxa"/>
          </w:tcPr>
          <w:p w14:paraId="63F98C5C" w14:textId="77777777" w:rsidR="000E5EF5" w:rsidRPr="00E42FF0" w:rsidRDefault="000E5EF5" w:rsidP="00070152">
            <w:pPr>
              <w:rPr>
                <w:rFonts w:ascii="Arial" w:hAnsi="Arial" w:cs="Arial"/>
                <w:sz w:val="20"/>
                <w:szCs w:val="20"/>
              </w:rPr>
            </w:pPr>
            <w:r w:rsidRPr="00E42FF0">
              <w:rPr>
                <w:rFonts w:ascii="Arial" w:hAnsi="Arial" w:cs="Arial"/>
                <w:sz w:val="20"/>
                <w:szCs w:val="20"/>
              </w:rPr>
              <w:t>Patient Safety Incident Investigation (PSII) Align with improvement plans or if trend/theme submit for trust improvement</w:t>
            </w:r>
          </w:p>
        </w:tc>
      </w:tr>
      <w:tr w:rsidR="000E5EF5" w:rsidRPr="00E42FF0" w14:paraId="0D5DED45" w14:textId="77777777" w:rsidTr="00070152">
        <w:tc>
          <w:tcPr>
            <w:tcW w:w="3005" w:type="dxa"/>
          </w:tcPr>
          <w:p w14:paraId="18ED4BBF" w14:textId="77777777" w:rsidR="000E5EF5" w:rsidRPr="00E42FF0" w:rsidRDefault="000E5EF5" w:rsidP="00070152">
            <w:pPr>
              <w:rPr>
                <w:rFonts w:ascii="Arial" w:hAnsi="Arial" w:cs="Arial"/>
                <w:sz w:val="20"/>
                <w:szCs w:val="20"/>
              </w:rPr>
            </w:pPr>
            <w:r w:rsidRPr="00E42FF0">
              <w:rPr>
                <w:rFonts w:ascii="Arial" w:hAnsi="Arial" w:cs="Arial"/>
                <w:sz w:val="20"/>
                <w:szCs w:val="20"/>
              </w:rPr>
              <w:t>Deaths of patients detained under the Mental Health Act (1983) or where the Mental Capacity Act (2005) applies</w:t>
            </w:r>
          </w:p>
        </w:tc>
        <w:tc>
          <w:tcPr>
            <w:tcW w:w="3005" w:type="dxa"/>
          </w:tcPr>
          <w:p w14:paraId="627F9143"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Assess against any improvement plans </w:t>
            </w:r>
          </w:p>
        </w:tc>
        <w:tc>
          <w:tcPr>
            <w:tcW w:w="3006" w:type="dxa"/>
          </w:tcPr>
          <w:p w14:paraId="52F49DFE" w14:textId="77777777" w:rsidR="000E5EF5" w:rsidRPr="00E42FF0" w:rsidRDefault="000E5EF5" w:rsidP="00070152">
            <w:pPr>
              <w:rPr>
                <w:rFonts w:ascii="Arial" w:hAnsi="Arial" w:cs="Arial"/>
                <w:sz w:val="20"/>
                <w:szCs w:val="20"/>
              </w:rPr>
            </w:pPr>
            <w:r w:rsidRPr="00E42FF0">
              <w:rPr>
                <w:rFonts w:ascii="Arial" w:hAnsi="Arial" w:cs="Arial"/>
                <w:sz w:val="20"/>
                <w:szCs w:val="20"/>
              </w:rPr>
              <w:t>Patient Safety Incident Investigation (PSII) Align with improvement plans or if trend/theme submit for trust improvement</w:t>
            </w:r>
          </w:p>
        </w:tc>
      </w:tr>
      <w:tr w:rsidR="000E5EF5" w:rsidRPr="00E42FF0" w14:paraId="7BF6D597" w14:textId="77777777" w:rsidTr="00070152">
        <w:tc>
          <w:tcPr>
            <w:tcW w:w="3005" w:type="dxa"/>
          </w:tcPr>
          <w:p w14:paraId="67643B4B" w14:textId="77777777" w:rsidR="000E5EF5" w:rsidRPr="00E42FF0" w:rsidRDefault="000E5EF5" w:rsidP="00070152">
            <w:pPr>
              <w:rPr>
                <w:rFonts w:ascii="Arial" w:hAnsi="Arial" w:cs="Arial"/>
                <w:sz w:val="20"/>
                <w:szCs w:val="20"/>
              </w:rPr>
            </w:pPr>
            <w:r w:rsidRPr="00E42FF0">
              <w:rPr>
                <w:rFonts w:ascii="Arial" w:hAnsi="Arial" w:cs="Arial"/>
                <w:sz w:val="20"/>
                <w:szCs w:val="20"/>
              </w:rPr>
              <w:t>Maternity &amp; neonatal incidents meeting Healthcare Safety Investigation Branch (HSIB) or Maternity and Neonatal Safety Investigation (MNSI) criteria</w:t>
            </w:r>
          </w:p>
        </w:tc>
        <w:tc>
          <w:tcPr>
            <w:tcW w:w="3005" w:type="dxa"/>
          </w:tcPr>
          <w:p w14:paraId="0B43942D"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Assess against any improvement plans </w:t>
            </w:r>
          </w:p>
        </w:tc>
        <w:tc>
          <w:tcPr>
            <w:tcW w:w="3006" w:type="dxa"/>
          </w:tcPr>
          <w:p w14:paraId="3A98335A" w14:textId="77777777" w:rsidR="000E5EF5" w:rsidRPr="00E42FF0" w:rsidRDefault="000E5EF5" w:rsidP="00070152">
            <w:pPr>
              <w:rPr>
                <w:rFonts w:ascii="Arial" w:hAnsi="Arial" w:cs="Arial"/>
                <w:sz w:val="20"/>
                <w:szCs w:val="20"/>
              </w:rPr>
            </w:pPr>
            <w:r w:rsidRPr="00E42FF0">
              <w:rPr>
                <w:rFonts w:ascii="Arial" w:hAnsi="Arial" w:cs="Arial"/>
                <w:sz w:val="20"/>
                <w:szCs w:val="20"/>
              </w:rPr>
              <w:t>Refer to HSIB/MNSI for independent Patient Safety Incident Investigation (PSII)</w:t>
            </w:r>
          </w:p>
        </w:tc>
      </w:tr>
      <w:tr w:rsidR="000E5EF5" w:rsidRPr="00E42FF0" w14:paraId="37081D6F" w14:textId="77777777" w:rsidTr="00070152">
        <w:tc>
          <w:tcPr>
            <w:tcW w:w="3005" w:type="dxa"/>
          </w:tcPr>
          <w:p w14:paraId="476CF026" w14:textId="77777777" w:rsidR="000E5EF5" w:rsidRPr="00E42FF0" w:rsidRDefault="000E5EF5" w:rsidP="00070152">
            <w:pPr>
              <w:rPr>
                <w:rFonts w:ascii="Arial" w:hAnsi="Arial" w:cs="Arial"/>
                <w:sz w:val="20"/>
                <w:szCs w:val="20"/>
              </w:rPr>
            </w:pPr>
            <w:r w:rsidRPr="00E42FF0">
              <w:rPr>
                <w:rFonts w:ascii="Arial" w:hAnsi="Arial" w:cs="Arial"/>
                <w:sz w:val="20"/>
                <w:szCs w:val="20"/>
              </w:rPr>
              <w:t>Incidents in NHS screening programmes</w:t>
            </w:r>
          </w:p>
        </w:tc>
        <w:tc>
          <w:tcPr>
            <w:tcW w:w="3005" w:type="dxa"/>
          </w:tcPr>
          <w:p w14:paraId="3945CA08"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Assess against any improvement plans </w:t>
            </w:r>
          </w:p>
        </w:tc>
        <w:tc>
          <w:tcPr>
            <w:tcW w:w="3006" w:type="dxa"/>
          </w:tcPr>
          <w:p w14:paraId="456461C8"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Refer to local screening quality assurance service for </w:t>
            </w:r>
            <w:r w:rsidRPr="00E42FF0">
              <w:rPr>
                <w:rFonts w:ascii="Arial" w:hAnsi="Arial" w:cs="Arial"/>
                <w:sz w:val="20"/>
                <w:szCs w:val="20"/>
              </w:rPr>
              <w:lastRenderedPageBreak/>
              <w:t>consideration of locally-led learning response</w:t>
            </w:r>
          </w:p>
        </w:tc>
      </w:tr>
      <w:tr w:rsidR="000E5EF5" w:rsidRPr="00E42FF0" w14:paraId="34618904" w14:textId="77777777" w:rsidTr="00070152">
        <w:tc>
          <w:tcPr>
            <w:tcW w:w="3005" w:type="dxa"/>
          </w:tcPr>
          <w:p w14:paraId="4D5DF4C1" w14:textId="77777777" w:rsidR="000E5EF5" w:rsidRPr="00E42FF0" w:rsidRDefault="000E5EF5" w:rsidP="00070152">
            <w:pPr>
              <w:rPr>
                <w:rFonts w:ascii="Arial" w:hAnsi="Arial" w:cs="Arial"/>
                <w:sz w:val="20"/>
                <w:szCs w:val="20"/>
              </w:rPr>
            </w:pPr>
            <w:r w:rsidRPr="00E42FF0">
              <w:rPr>
                <w:rFonts w:ascii="Arial" w:hAnsi="Arial" w:cs="Arial"/>
                <w:sz w:val="20"/>
                <w:szCs w:val="20"/>
              </w:rPr>
              <w:lastRenderedPageBreak/>
              <w:t>Child deaths</w:t>
            </w:r>
          </w:p>
        </w:tc>
        <w:tc>
          <w:tcPr>
            <w:tcW w:w="3005" w:type="dxa"/>
          </w:tcPr>
          <w:p w14:paraId="28836A41"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Assess against any improvement plans </w:t>
            </w:r>
          </w:p>
        </w:tc>
        <w:tc>
          <w:tcPr>
            <w:tcW w:w="3006" w:type="dxa"/>
          </w:tcPr>
          <w:p w14:paraId="549006CB" w14:textId="77777777" w:rsidR="000E5EF5" w:rsidRPr="00E42FF0" w:rsidRDefault="000E5EF5" w:rsidP="00070152">
            <w:pPr>
              <w:rPr>
                <w:rFonts w:ascii="Arial" w:hAnsi="Arial" w:cs="Arial"/>
                <w:sz w:val="20"/>
                <w:szCs w:val="20"/>
              </w:rPr>
            </w:pPr>
            <w:r w:rsidRPr="00E42FF0">
              <w:rPr>
                <w:rFonts w:ascii="Arial" w:hAnsi="Arial" w:cs="Arial"/>
                <w:sz w:val="20"/>
                <w:szCs w:val="20"/>
              </w:rPr>
              <w:t>Refer for Child Death Overview Panel review. Locally-led PSII (or other response) may be required alongside the panel review</w:t>
            </w:r>
          </w:p>
        </w:tc>
      </w:tr>
      <w:tr w:rsidR="000E5EF5" w:rsidRPr="00E42FF0" w14:paraId="4ED5A1B1" w14:textId="77777777" w:rsidTr="00070152">
        <w:tc>
          <w:tcPr>
            <w:tcW w:w="3005" w:type="dxa"/>
          </w:tcPr>
          <w:p w14:paraId="1CD22E2E" w14:textId="77777777" w:rsidR="000E5EF5" w:rsidRPr="00E42FF0" w:rsidRDefault="000E5EF5" w:rsidP="00070152">
            <w:pPr>
              <w:rPr>
                <w:rFonts w:ascii="Arial" w:hAnsi="Arial" w:cs="Arial"/>
                <w:sz w:val="20"/>
                <w:szCs w:val="20"/>
              </w:rPr>
            </w:pPr>
            <w:r w:rsidRPr="00E42FF0">
              <w:rPr>
                <w:rFonts w:ascii="Arial" w:hAnsi="Arial" w:cs="Arial"/>
                <w:sz w:val="20"/>
                <w:szCs w:val="20"/>
              </w:rPr>
              <w:t>Deaths of persons with learning disabilities</w:t>
            </w:r>
          </w:p>
        </w:tc>
        <w:tc>
          <w:tcPr>
            <w:tcW w:w="3005" w:type="dxa"/>
          </w:tcPr>
          <w:p w14:paraId="46425860"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Assess against any improvement plans </w:t>
            </w:r>
          </w:p>
        </w:tc>
        <w:tc>
          <w:tcPr>
            <w:tcW w:w="3006" w:type="dxa"/>
          </w:tcPr>
          <w:p w14:paraId="7A454785" w14:textId="77777777" w:rsidR="000E5EF5" w:rsidRPr="00E42FF0" w:rsidRDefault="000E5EF5" w:rsidP="00070152">
            <w:pPr>
              <w:rPr>
                <w:rFonts w:ascii="Arial" w:hAnsi="Arial" w:cs="Arial"/>
                <w:sz w:val="20"/>
                <w:szCs w:val="20"/>
              </w:rPr>
            </w:pPr>
            <w:r w:rsidRPr="00E42FF0">
              <w:rPr>
                <w:rFonts w:ascii="Arial" w:hAnsi="Arial" w:cs="Arial"/>
                <w:sz w:val="20"/>
                <w:szCs w:val="20"/>
              </w:rPr>
              <w:t>Refer for Learning Disability Mortality Review (LeDeR) Locally-led PSII (or other response) may be required alongside the LeDeR</w:t>
            </w:r>
          </w:p>
        </w:tc>
      </w:tr>
      <w:tr w:rsidR="000E5EF5" w:rsidRPr="00E42FF0" w14:paraId="2D161025" w14:textId="77777777" w:rsidTr="00070152">
        <w:tc>
          <w:tcPr>
            <w:tcW w:w="3005" w:type="dxa"/>
          </w:tcPr>
          <w:p w14:paraId="74A8DE30" w14:textId="77777777" w:rsidR="000E5EF5" w:rsidRPr="00E42FF0" w:rsidRDefault="000E5EF5" w:rsidP="00070152">
            <w:pPr>
              <w:rPr>
                <w:rFonts w:ascii="Arial" w:hAnsi="Arial" w:cs="Arial"/>
                <w:sz w:val="20"/>
                <w:szCs w:val="20"/>
              </w:rPr>
            </w:pPr>
            <w:r w:rsidRPr="00E42FF0">
              <w:rPr>
                <w:rFonts w:ascii="Arial" w:hAnsi="Arial" w:cs="Arial"/>
                <w:sz w:val="20"/>
                <w:szCs w:val="20"/>
              </w:rPr>
              <w:t>Mental health-related homicides</w:t>
            </w:r>
          </w:p>
        </w:tc>
        <w:tc>
          <w:tcPr>
            <w:tcW w:w="3005" w:type="dxa"/>
          </w:tcPr>
          <w:p w14:paraId="0D60BDF1"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Assess against any improvement plans </w:t>
            </w:r>
          </w:p>
        </w:tc>
        <w:tc>
          <w:tcPr>
            <w:tcW w:w="3006" w:type="dxa"/>
          </w:tcPr>
          <w:p w14:paraId="53638C9C" w14:textId="77777777" w:rsidR="000E5EF5" w:rsidRPr="00E42FF0" w:rsidRDefault="000E5EF5" w:rsidP="00070152">
            <w:pPr>
              <w:rPr>
                <w:rFonts w:ascii="Arial" w:hAnsi="Arial" w:cs="Arial"/>
                <w:sz w:val="20"/>
                <w:szCs w:val="20"/>
              </w:rPr>
            </w:pPr>
            <w:r w:rsidRPr="00E42FF0">
              <w:rPr>
                <w:rFonts w:ascii="Arial" w:hAnsi="Arial" w:cs="Arial"/>
                <w:sz w:val="20"/>
                <w:szCs w:val="20"/>
              </w:rPr>
              <w:t>Refer to the NHS England Regional Independent Investigation Team (RIIT) for consideration for an independent PSII Locally-led PSII may be required</w:t>
            </w:r>
          </w:p>
        </w:tc>
      </w:tr>
      <w:tr w:rsidR="000E5EF5" w:rsidRPr="00E42FF0" w14:paraId="78E3E247" w14:textId="77777777" w:rsidTr="00070152">
        <w:tc>
          <w:tcPr>
            <w:tcW w:w="3005" w:type="dxa"/>
          </w:tcPr>
          <w:p w14:paraId="42761C41" w14:textId="77777777" w:rsidR="000E5EF5" w:rsidRPr="00E42FF0" w:rsidRDefault="000E5EF5" w:rsidP="00070152">
            <w:pPr>
              <w:rPr>
                <w:rFonts w:ascii="Arial" w:hAnsi="Arial" w:cs="Arial"/>
                <w:sz w:val="20"/>
                <w:szCs w:val="20"/>
              </w:rPr>
            </w:pPr>
            <w:r w:rsidRPr="00E42FF0">
              <w:rPr>
                <w:rFonts w:ascii="Arial" w:hAnsi="Arial" w:cs="Arial"/>
                <w:sz w:val="20"/>
                <w:szCs w:val="20"/>
              </w:rPr>
              <w:t>Safeguarding incidents meeting criteria</w:t>
            </w:r>
          </w:p>
        </w:tc>
        <w:tc>
          <w:tcPr>
            <w:tcW w:w="3005" w:type="dxa"/>
          </w:tcPr>
          <w:p w14:paraId="4826C806"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Assess against any improvement plans </w:t>
            </w:r>
          </w:p>
        </w:tc>
        <w:tc>
          <w:tcPr>
            <w:tcW w:w="3006" w:type="dxa"/>
          </w:tcPr>
          <w:p w14:paraId="12D462ED" w14:textId="77777777" w:rsidR="000E5EF5" w:rsidRPr="00E42FF0" w:rsidRDefault="000E5EF5" w:rsidP="00070152">
            <w:pPr>
              <w:rPr>
                <w:rFonts w:ascii="Arial" w:hAnsi="Arial" w:cs="Arial"/>
                <w:sz w:val="20"/>
                <w:szCs w:val="20"/>
              </w:rPr>
            </w:pPr>
            <w:r w:rsidRPr="00E42FF0">
              <w:rPr>
                <w:rFonts w:ascii="Arial" w:hAnsi="Arial" w:cs="Arial"/>
                <w:sz w:val="20"/>
                <w:szCs w:val="20"/>
              </w:rPr>
              <w:t>Refer to local authority safeguarding lead</w:t>
            </w:r>
          </w:p>
        </w:tc>
      </w:tr>
      <w:tr w:rsidR="000E5EF5" w:rsidRPr="00E42FF0" w14:paraId="73E691E2" w14:textId="77777777" w:rsidTr="00070152">
        <w:tc>
          <w:tcPr>
            <w:tcW w:w="3005" w:type="dxa"/>
          </w:tcPr>
          <w:p w14:paraId="596CC93C" w14:textId="77777777" w:rsidR="000E5EF5" w:rsidRPr="00E42FF0" w:rsidRDefault="000E5EF5" w:rsidP="00070152">
            <w:pPr>
              <w:rPr>
                <w:rFonts w:ascii="Arial" w:hAnsi="Arial" w:cs="Arial"/>
                <w:sz w:val="20"/>
                <w:szCs w:val="20"/>
              </w:rPr>
            </w:pPr>
            <w:r w:rsidRPr="00E42FF0">
              <w:rPr>
                <w:rFonts w:ascii="Arial" w:hAnsi="Arial" w:cs="Arial"/>
                <w:sz w:val="20"/>
                <w:szCs w:val="20"/>
              </w:rPr>
              <w:t>Deaths in custody</w:t>
            </w:r>
          </w:p>
        </w:tc>
        <w:tc>
          <w:tcPr>
            <w:tcW w:w="3005" w:type="dxa"/>
          </w:tcPr>
          <w:p w14:paraId="3D70DDFC" w14:textId="77777777" w:rsidR="000E5EF5" w:rsidRPr="00E42FF0" w:rsidRDefault="000E5EF5" w:rsidP="00070152">
            <w:pPr>
              <w:rPr>
                <w:rFonts w:ascii="Arial" w:hAnsi="Arial" w:cs="Arial"/>
                <w:sz w:val="20"/>
                <w:szCs w:val="20"/>
              </w:rPr>
            </w:pPr>
            <w:r w:rsidRPr="00E42FF0">
              <w:rPr>
                <w:rFonts w:ascii="Arial" w:hAnsi="Arial" w:cs="Arial"/>
                <w:sz w:val="20"/>
                <w:szCs w:val="20"/>
              </w:rPr>
              <w:t xml:space="preserve">Assess against any improvement plans </w:t>
            </w:r>
          </w:p>
        </w:tc>
        <w:tc>
          <w:tcPr>
            <w:tcW w:w="3006" w:type="dxa"/>
          </w:tcPr>
          <w:p w14:paraId="2E00E88F" w14:textId="77777777" w:rsidR="000E5EF5" w:rsidRPr="00E42FF0" w:rsidRDefault="000E5EF5" w:rsidP="00070152">
            <w:pPr>
              <w:rPr>
                <w:rFonts w:ascii="Arial" w:hAnsi="Arial" w:cs="Arial"/>
                <w:sz w:val="20"/>
                <w:szCs w:val="20"/>
              </w:rPr>
            </w:pPr>
            <w:r w:rsidRPr="00E42FF0">
              <w:rPr>
                <w:rFonts w:ascii="Arial" w:hAnsi="Arial" w:cs="Arial"/>
                <w:sz w:val="20"/>
                <w:szCs w:val="20"/>
              </w:rPr>
              <w:t>Refer to the Prison and Probation Ombudsman (PPO) or the Independent Office for Police Conduct (IOPC).</w:t>
            </w:r>
          </w:p>
        </w:tc>
      </w:tr>
    </w:tbl>
    <w:p w14:paraId="10E49388" w14:textId="77777777" w:rsidR="000E5EF5" w:rsidRDefault="000E5EF5" w:rsidP="006547E5">
      <w:pPr>
        <w:rPr>
          <w:rFonts w:ascii="Arial" w:hAnsi="Arial" w:cs="Arial"/>
        </w:rPr>
      </w:pPr>
    </w:p>
    <w:p w14:paraId="00F560E4" w14:textId="179010CA" w:rsidR="000E5EF5" w:rsidRDefault="003B6F8A" w:rsidP="006547E5">
      <w:pPr>
        <w:rPr>
          <w:rFonts w:ascii="Arial" w:hAnsi="Arial" w:cs="Arial"/>
          <w:b/>
          <w:bCs/>
          <w:sz w:val="24"/>
          <w:szCs w:val="24"/>
        </w:rPr>
      </w:pPr>
      <w:r>
        <w:rPr>
          <w:rFonts w:ascii="Arial" w:hAnsi="Arial" w:cs="Arial"/>
          <w:b/>
          <w:bCs/>
          <w:sz w:val="24"/>
          <w:szCs w:val="24"/>
        </w:rPr>
        <w:t xml:space="preserve">11. </w:t>
      </w:r>
      <w:r w:rsidR="000E5EF5" w:rsidRPr="000E5EF5">
        <w:rPr>
          <w:rFonts w:ascii="Arial" w:hAnsi="Arial" w:cs="Arial"/>
          <w:b/>
          <w:bCs/>
          <w:sz w:val="24"/>
          <w:szCs w:val="24"/>
        </w:rPr>
        <w:t xml:space="preserve">Responding to Trust </w:t>
      </w:r>
      <w:r w:rsidR="00E42FF0">
        <w:rPr>
          <w:rFonts w:ascii="Arial" w:hAnsi="Arial" w:cs="Arial"/>
          <w:b/>
          <w:bCs/>
          <w:sz w:val="24"/>
          <w:szCs w:val="24"/>
        </w:rPr>
        <w:t>p</w:t>
      </w:r>
      <w:r w:rsidR="000E5EF5" w:rsidRPr="000E5EF5">
        <w:rPr>
          <w:rFonts w:ascii="Arial" w:hAnsi="Arial" w:cs="Arial"/>
          <w:b/>
          <w:bCs/>
          <w:sz w:val="24"/>
          <w:szCs w:val="24"/>
        </w:rPr>
        <w:t xml:space="preserve">riority (improvement) </w:t>
      </w:r>
      <w:r w:rsidR="00E42FF0">
        <w:rPr>
          <w:rFonts w:ascii="Arial" w:hAnsi="Arial" w:cs="Arial"/>
          <w:b/>
          <w:bCs/>
          <w:sz w:val="24"/>
          <w:szCs w:val="24"/>
        </w:rPr>
        <w:t>i</w:t>
      </w:r>
      <w:r w:rsidR="000E5EF5" w:rsidRPr="000E5EF5">
        <w:rPr>
          <w:rFonts w:ascii="Arial" w:hAnsi="Arial" w:cs="Arial"/>
          <w:b/>
          <w:bCs/>
          <w:sz w:val="24"/>
          <w:szCs w:val="24"/>
        </w:rPr>
        <w:t>ncidents</w:t>
      </w:r>
    </w:p>
    <w:tbl>
      <w:tblPr>
        <w:tblStyle w:val="TableGrid"/>
        <w:tblW w:w="0" w:type="auto"/>
        <w:tblLook w:val="04A0" w:firstRow="1" w:lastRow="0" w:firstColumn="1" w:lastColumn="0" w:noHBand="0" w:noVBand="1"/>
      </w:tblPr>
      <w:tblGrid>
        <w:gridCol w:w="3005"/>
        <w:gridCol w:w="3005"/>
        <w:gridCol w:w="3006"/>
      </w:tblGrid>
      <w:tr w:rsidR="000E5EF5" w14:paraId="3C9ACBEC" w14:textId="77777777" w:rsidTr="00DA65F8">
        <w:tc>
          <w:tcPr>
            <w:tcW w:w="3005" w:type="dxa"/>
            <w:shd w:val="clear" w:color="auto" w:fill="00B0F0"/>
          </w:tcPr>
          <w:p w14:paraId="319A6AB4" w14:textId="77777777" w:rsidR="000E5EF5" w:rsidRPr="00E42FF0" w:rsidRDefault="000E5EF5" w:rsidP="00070152">
            <w:pPr>
              <w:rPr>
                <w:rFonts w:ascii="Arial" w:hAnsi="Arial" w:cs="Arial"/>
                <w:b/>
                <w:bCs/>
                <w:sz w:val="20"/>
                <w:szCs w:val="20"/>
              </w:rPr>
            </w:pPr>
            <w:r w:rsidRPr="00E42FF0">
              <w:rPr>
                <w:rFonts w:ascii="Arial" w:hAnsi="Arial" w:cs="Arial"/>
                <w:b/>
                <w:bCs/>
                <w:sz w:val="20"/>
                <w:szCs w:val="20"/>
              </w:rPr>
              <w:t>Trust Priority Incident (aligned to improvement profile</w:t>
            </w:r>
          </w:p>
        </w:tc>
        <w:tc>
          <w:tcPr>
            <w:tcW w:w="3005" w:type="dxa"/>
            <w:shd w:val="clear" w:color="auto" w:fill="EB396C"/>
          </w:tcPr>
          <w:p w14:paraId="0BFC402E" w14:textId="77777777" w:rsidR="000E5EF5" w:rsidRPr="00E42FF0" w:rsidRDefault="000E5EF5" w:rsidP="00070152">
            <w:pPr>
              <w:rPr>
                <w:rFonts w:ascii="Arial" w:hAnsi="Arial" w:cs="Arial"/>
                <w:b/>
                <w:bCs/>
                <w:sz w:val="20"/>
                <w:szCs w:val="20"/>
              </w:rPr>
            </w:pPr>
            <w:r w:rsidRPr="00E42FF0">
              <w:rPr>
                <w:rFonts w:ascii="Arial" w:hAnsi="Arial" w:cs="Arial"/>
                <w:b/>
                <w:bCs/>
                <w:sz w:val="20"/>
                <w:szCs w:val="20"/>
              </w:rPr>
              <w:t>Response Assessment</w:t>
            </w:r>
          </w:p>
        </w:tc>
        <w:tc>
          <w:tcPr>
            <w:tcW w:w="3006" w:type="dxa"/>
            <w:shd w:val="clear" w:color="auto" w:fill="BFBFBF" w:themeFill="background1" w:themeFillShade="BF"/>
          </w:tcPr>
          <w:p w14:paraId="6736CE72" w14:textId="77777777" w:rsidR="000E5EF5" w:rsidRPr="00E42FF0" w:rsidRDefault="000E5EF5" w:rsidP="00070152">
            <w:pPr>
              <w:rPr>
                <w:rFonts w:ascii="Arial" w:hAnsi="Arial" w:cs="Arial"/>
                <w:b/>
                <w:bCs/>
                <w:sz w:val="20"/>
                <w:szCs w:val="20"/>
              </w:rPr>
            </w:pPr>
            <w:r w:rsidRPr="00E42FF0">
              <w:rPr>
                <w:rFonts w:ascii="Arial" w:hAnsi="Arial" w:cs="Arial"/>
                <w:b/>
                <w:bCs/>
                <w:sz w:val="20"/>
                <w:szCs w:val="20"/>
              </w:rPr>
              <w:t>Response Action</w:t>
            </w:r>
          </w:p>
        </w:tc>
      </w:tr>
      <w:tr w:rsidR="000E5EF5" w:rsidRPr="00E42FF0" w14:paraId="4E21B839" w14:textId="77777777" w:rsidTr="00070152">
        <w:tc>
          <w:tcPr>
            <w:tcW w:w="3005" w:type="dxa"/>
          </w:tcPr>
          <w:p w14:paraId="493EAF91" w14:textId="77777777" w:rsidR="00030B7B" w:rsidRPr="00E42FF0" w:rsidRDefault="00030B7B" w:rsidP="00030B7B">
            <w:pPr>
              <w:rPr>
                <w:rFonts w:ascii="Arial" w:hAnsi="Arial" w:cs="Arial"/>
                <w:sz w:val="20"/>
                <w:szCs w:val="20"/>
              </w:rPr>
            </w:pPr>
            <w:r w:rsidRPr="00E42FF0">
              <w:rPr>
                <w:rFonts w:ascii="Arial" w:hAnsi="Arial" w:cs="Arial"/>
                <w:b/>
                <w:bCs/>
                <w:sz w:val="20"/>
                <w:szCs w:val="20"/>
              </w:rPr>
              <w:t>Diagnostic Results</w:t>
            </w:r>
            <w:r w:rsidRPr="00E42FF0">
              <w:rPr>
                <w:rFonts w:ascii="Arial" w:hAnsi="Arial" w:cs="Arial"/>
                <w:sz w:val="20"/>
                <w:szCs w:val="20"/>
              </w:rPr>
              <w:t>: Reported Incidents about action on abnormal results from Radiology by clinicians</w:t>
            </w:r>
          </w:p>
          <w:p w14:paraId="0E975FAF" w14:textId="77777777" w:rsidR="000E5EF5" w:rsidRPr="00E42FF0" w:rsidRDefault="000E5EF5" w:rsidP="00070152">
            <w:pPr>
              <w:rPr>
                <w:rFonts w:ascii="Arial" w:hAnsi="Arial" w:cs="Arial"/>
                <w:sz w:val="20"/>
                <w:szCs w:val="20"/>
              </w:rPr>
            </w:pPr>
          </w:p>
          <w:p w14:paraId="5677533B" w14:textId="77777777" w:rsidR="000E5EF5" w:rsidRPr="00E42FF0" w:rsidRDefault="000E5EF5" w:rsidP="00471F89">
            <w:pPr>
              <w:rPr>
                <w:rFonts w:ascii="Arial" w:hAnsi="Arial" w:cs="Arial"/>
                <w:sz w:val="20"/>
                <w:szCs w:val="20"/>
              </w:rPr>
            </w:pPr>
          </w:p>
        </w:tc>
        <w:tc>
          <w:tcPr>
            <w:tcW w:w="3005" w:type="dxa"/>
          </w:tcPr>
          <w:p w14:paraId="3AC0D919" w14:textId="77777777" w:rsidR="000E5EF5" w:rsidRPr="00E42FF0" w:rsidRDefault="000E5EF5" w:rsidP="00070152">
            <w:pPr>
              <w:rPr>
                <w:rFonts w:ascii="Arial" w:hAnsi="Arial" w:cs="Arial"/>
                <w:sz w:val="20"/>
                <w:szCs w:val="20"/>
              </w:rPr>
            </w:pPr>
            <w:r w:rsidRPr="00E42FF0">
              <w:rPr>
                <w:rFonts w:ascii="Arial" w:hAnsi="Arial" w:cs="Arial"/>
                <w:sz w:val="20"/>
                <w:szCs w:val="20"/>
              </w:rPr>
              <w:t>Assess the contributory factors involved in the Incident to identify whether they are well understood and aligned to existing improvement plan. Consider the potential for learning.</w:t>
            </w:r>
          </w:p>
        </w:tc>
        <w:tc>
          <w:tcPr>
            <w:tcW w:w="3006" w:type="dxa"/>
          </w:tcPr>
          <w:p w14:paraId="135565AF" w14:textId="63C7FE5D" w:rsidR="000E5EF5" w:rsidRPr="00E42FF0" w:rsidRDefault="000E5EF5" w:rsidP="00070152">
            <w:pPr>
              <w:rPr>
                <w:rFonts w:ascii="Arial" w:hAnsi="Arial" w:cs="Arial"/>
                <w:sz w:val="20"/>
                <w:szCs w:val="20"/>
              </w:rPr>
            </w:pPr>
            <w:r w:rsidRPr="00E42FF0">
              <w:rPr>
                <w:rFonts w:ascii="Arial" w:hAnsi="Arial" w:cs="Arial"/>
                <w:sz w:val="20"/>
                <w:szCs w:val="20"/>
              </w:rPr>
              <w:t xml:space="preserve">If contributory factors are well understood and aligned to improvement plan </w:t>
            </w:r>
            <w:r w:rsidR="00030B7B" w:rsidRPr="00E42FF0">
              <w:rPr>
                <w:rFonts w:ascii="Arial" w:hAnsi="Arial" w:cs="Arial"/>
                <w:sz w:val="20"/>
                <w:szCs w:val="20"/>
              </w:rPr>
              <w:t>→</w:t>
            </w:r>
            <w:r w:rsidRPr="00E42FF0">
              <w:rPr>
                <w:rFonts w:ascii="Arial" w:hAnsi="Arial" w:cs="Arial"/>
                <w:sz w:val="20"/>
                <w:szCs w:val="20"/>
              </w:rPr>
              <w:t xml:space="preserve"> provide local staff and team feedback and close the Incident. Inform patient/NoK</w:t>
            </w:r>
            <w:r w:rsidR="00030B7B" w:rsidRPr="00E42FF0">
              <w:rPr>
                <w:rFonts w:ascii="Arial" w:hAnsi="Arial" w:cs="Arial"/>
                <w:sz w:val="20"/>
                <w:szCs w:val="20"/>
              </w:rPr>
              <w:t>.</w:t>
            </w:r>
            <w:r w:rsidRPr="00E42FF0">
              <w:rPr>
                <w:rFonts w:ascii="Arial" w:hAnsi="Arial" w:cs="Arial"/>
                <w:sz w:val="20"/>
                <w:szCs w:val="20"/>
              </w:rPr>
              <w:t xml:space="preserve"> </w:t>
            </w:r>
          </w:p>
          <w:p w14:paraId="4E2A96A2" w14:textId="77777777" w:rsidR="000E5EF5" w:rsidRPr="00E42FF0" w:rsidRDefault="000E5EF5" w:rsidP="00070152">
            <w:pPr>
              <w:rPr>
                <w:rFonts w:ascii="Arial" w:hAnsi="Arial" w:cs="Arial"/>
                <w:sz w:val="20"/>
                <w:szCs w:val="20"/>
              </w:rPr>
            </w:pPr>
          </w:p>
          <w:p w14:paraId="52E19732" w14:textId="77777777" w:rsidR="000E5EF5" w:rsidRPr="00E42FF0" w:rsidRDefault="000E5EF5" w:rsidP="00070152">
            <w:pPr>
              <w:rPr>
                <w:rFonts w:ascii="Arial" w:hAnsi="Arial" w:cs="Arial"/>
                <w:sz w:val="20"/>
                <w:szCs w:val="20"/>
              </w:rPr>
            </w:pPr>
            <w:r w:rsidRPr="00E42FF0">
              <w:rPr>
                <w:rFonts w:ascii="Arial" w:hAnsi="Arial" w:cs="Arial"/>
                <w:sz w:val="20"/>
                <w:szCs w:val="20"/>
              </w:rPr>
              <w:t>OR</w:t>
            </w:r>
          </w:p>
          <w:p w14:paraId="33724AE8" w14:textId="77777777" w:rsidR="000E5EF5" w:rsidRPr="00E42FF0" w:rsidRDefault="000E5EF5" w:rsidP="00070152">
            <w:pPr>
              <w:rPr>
                <w:rFonts w:ascii="Arial" w:hAnsi="Arial" w:cs="Arial"/>
                <w:sz w:val="20"/>
                <w:szCs w:val="20"/>
              </w:rPr>
            </w:pPr>
          </w:p>
          <w:p w14:paraId="412BF34D" w14:textId="2155631C" w:rsidR="000E5EF5" w:rsidRPr="00E42FF0" w:rsidRDefault="000E5EF5" w:rsidP="00070152">
            <w:pPr>
              <w:rPr>
                <w:rFonts w:ascii="Arial" w:hAnsi="Arial" w:cs="Arial"/>
                <w:sz w:val="20"/>
                <w:szCs w:val="20"/>
              </w:rPr>
            </w:pPr>
            <w:r w:rsidRPr="00E42FF0">
              <w:rPr>
                <w:rFonts w:ascii="Arial" w:hAnsi="Arial" w:cs="Arial"/>
                <w:sz w:val="20"/>
                <w:szCs w:val="20"/>
              </w:rPr>
              <w:t xml:space="preserve">Contributory factors not aligned to improvement plan and potential additional learning </w:t>
            </w:r>
            <w:r w:rsidR="00030B7B" w:rsidRPr="00E42FF0">
              <w:rPr>
                <w:rFonts w:ascii="Arial" w:hAnsi="Arial" w:cs="Arial"/>
                <w:sz w:val="20"/>
                <w:szCs w:val="20"/>
              </w:rPr>
              <w:t xml:space="preserve">→ </w:t>
            </w:r>
            <w:r w:rsidRPr="00E42FF0">
              <w:rPr>
                <w:rFonts w:ascii="Arial" w:hAnsi="Arial" w:cs="Arial"/>
                <w:sz w:val="20"/>
                <w:szCs w:val="20"/>
              </w:rPr>
              <w:t>consider appropriate and proportionate learning response method and feed results into relevant improvement group and teams within governance structures</w:t>
            </w:r>
            <w:r w:rsidR="00030B7B" w:rsidRPr="00E42FF0">
              <w:rPr>
                <w:rFonts w:ascii="Arial" w:hAnsi="Arial" w:cs="Arial"/>
                <w:sz w:val="20"/>
                <w:szCs w:val="20"/>
              </w:rPr>
              <w:t>.</w:t>
            </w:r>
          </w:p>
        </w:tc>
      </w:tr>
      <w:tr w:rsidR="000E5EF5" w:rsidRPr="00E42FF0" w14:paraId="5A01098F" w14:textId="77777777" w:rsidTr="00070152">
        <w:tc>
          <w:tcPr>
            <w:tcW w:w="3005" w:type="dxa"/>
          </w:tcPr>
          <w:p w14:paraId="7EA54815" w14:textId="179318D4" w:rsidR="000E5EF5" w:rsidRPr="00E42FF0" w:rsidRDefault="00030B7B" w:rsidP="00070152">
            <w:pPr>
              <w:rPr>
                <w:rFonts w:ascii="Arial" w:hAnsi="Arial" w:cs="Arial"/>
                <w:sz w:val="20"/>
                <w:szCs w:val="20"/>
              </w:rPr>
            </w:pPr>
            <w:r w:rsidRPr="00E42FF0">
              <w:rPr>
                <w:rFonts w:ascii="Arial" w:hAnsi="Arial" w:cs="Arial"/>
                <w:b/>
                <w:bCs/>
                <w:sz w:val="20"/>
                <w:szCs w:val="20"/>
              </w:rPr>
              <w:t>Lost to follow up:</w:t>
            </w:r>
            <w:r w:rsidRPr="00E42FF0">
              <w:rPr>
                <w:rFonts w:ascii="Arial" w:hAnsi="Arial" w:cs="Arial"/>
                <w:sz w:val="20"/>
                <w:szCs w:val="20"/>
              </w:rPr>
              <w:t xml:space="preserve"> Reported Incidents from systemic failure to refer and or act on follow up/referral from internal request</w:t>
            </w:r>
          </w:p>
        </w:tc>
        <w:tc>
          <w:tcPr>
            <w:tcW w:w="3005" w:type="dxa"/>
          </w:tcPr>
          <w:p w14:paraId="25CB449E" w14:textId="77777777" w:rsidR="000E5EF5" w:rsidRPr="00E42FF0" w:rsidRDefault="000E5EF5" w:rsidP="00070152">
            <w:pPr>
              <w:rPr>
                <w:rFonts w:ascii="Arial" w:hAnsi="Arial" w:cs="Arial"/>
                <w:sz w:val="20"/>
                <w:szCs w:val="20"/>
              </w:rPr>
            </w:pPr>
            <w:r w:rsidRPr="00E42FF0">
              <w:rPr>
                <w:rFonts w:ascii="Arial" w:hAnsi="Arial" w:cs="Arial"/>
                <w:sz w:val="20"/>
                <w:szCs w:val="20"/>
              </w:rPr>
              <w:t>As above</w:t>
            </w:r>
          </w:p>
        </w:tc>
        <w:tc>
          <w:tcPr>
            <w:tcW w:w="3006" w:type="dxa"/>
          </w:tcPr>
          <w:p w14:paraId="021425F6" w14:textId="77777777" w:rsidR="000E5EF5" w:rsidRPr="00E42FF0" w:rsidRDefault="000E5EF5" w:rsidP="00070152">
            <w:pPr>
              <w:rPr>
                <w:rFonts w:ascii="Arial" w:hAnsi="Arial" w:cs="Arial"/>
                <w:sz w:val="20"/>
                <w:szCs w:val="20"/>
              </w:rPr>
            </w:pPr>
            <w:r w:rsidRPr="00E42FF0">
              <w:rPr>
                <w:rFonts w:ascii="Arial" w:hAnsi="Arial" w:cs="Arial"/>
                <w:sz w:val="20"/>
                <w:szCs w:val="20"/>
              </w:rPr>
              <w:t>As above</w:t>
            </w:r>
          </w:p>
        </w:tc>
      </w:tr>
      <w:tr w:rsidR="000E5EF5" w:rsidRPr="00E42FF0" w14:paraId="530F3B5A" w14:textId="77777777" w:rsidTr="00070152">
        <w:tc>
          <w:tcPr>
            <w:tcW w:w="3005" w:type="dxa"/>
          </w:tcPr>
          <w:p w14:paraId="74D89FD2" w14:textId="66FFFC48" w:rsidR="000E5EF5" w:rsidRPr="00E42FF0" w:rsidRDefault="00030B7B" w:rsidP="00E42FF0">
            <w:pPr>
              <w:rPr>
                <w:rFonts w:ascii="Arial" w:hAnsi="Arial" w:cs="Arial"/>
                <w:sz w:val="20"/>
                <w:szCs w:val="20"/>
              </w:rPr>
            </w:pPr>
            <w:r w:rsidRPr="00E42FF0">
              <w:rPr>
                <w:rFonts w:ascii="Arial" w:hAnsi="Arial" w:cs="Arial"/>
                <w:b/>
                <w:bCs/>
                <w:sz w:val="20"/>
                <w:szCs w:val="20"/>
              </w:rPr>
              <w:t>Anticoagulation:</w:t>
            </w:r>
            <w:r w:rsidRPr="00E42FF0">
              <w:rPr>
                <w:rFonts w:ascii="Arial" w:hAnsi="Arial" w:cs="Arial"/>
                <w:sz w:val="20"/>
                <w:szCs w:val="20"/>
              </w:rPr>
              <w:t xml:space="preserve"> Omission in medication especially low molecular weight heparin (LMWH)/ Warfarin</w:t>
            </w:r>
          </w:p>
        </w:tc>
        <w:tc>
          <w:tcPr>
            <w:tcW w:w="3005" w:type="dxa"/>
          </w:tcPr>
          <w:p w14:paraId="35782936" w14:textId="77777777" w:rsidR="000E5EF5" w:rsidRPr="00E42FF0" w:rsidRDefault="000E5EF5" w:rsidP="00070152">
            <w:pPr>
              <w:rPr>
                <w:rFonts w:ascii="Arial" w:hAnsi="Arial" w:cs="Arial"/>
                <w:sz w:val="20"/>
                <w:szCs w:val="20"/>
              </w:rPr>
            </w:pPr>
            <w:r w:rsidRPr="00E42FF0">
              <w:rPr>
                <w:rFonts w:ascii="Arial" w:hAnsi="Arial" w:cs="Arial"/>
                <w:sz w:val="20"/>
                <w:szCs w:val="20"/>
              </w:rPr>
              <w:t>As above</w:t>
            </w:r>
          </w:p>
        </w:tc>
        <w:tc>
          <w:tcPr>
            <w:tcW w:w="3006" w:type="dxa"/>
          </w:tcPr>
          <w:p w14:paraId="5DD1C213" w14:textId="77777777" w:rsidR="000E5EF5" w:rsidRPr="00E42FF0" w:rsidRDefault="000E5EF5" w:rsidP="00070152">
            <w:pPr>
              <w:rPr>
                <w:rFonts w:ascii="Arial" w:hAnsi="Arial" w:cs="Arial"/>
                <w:sz w:val="20"/>
                <w:szCs w:val="20"/>
              </w:rPr>
            </w:pPr>
            <w:r w:rsidRPr="00E42FF0">
              <w:rPr>
                <w:rFonts w:ascii="Arial" w:hAnsi="Arial" w:cs="Arial"/>
                <w:sz w:val="20"/>
                <w:szCs w:val="20"/>
              </w:rPr>
              <w:t>As above</w:t>
            </w:r>
          </w:p>
        </w:tc>
      </w:tr>
    </w:tbl>
    <w:p w14:paraId="24998BF1" w14:textId="77777777" w:rsidR="000E5EF5" w:rsidRPr="00E42FF0" w:rsidRDefault="000E5EF5" w:rsidP="006547E5">
      <w:pPr>
        <w:rPr>
          <w:rFonts w:ascii="Arial" w:hAnsi="Arial" w:cs="Arial"/>
          <w:b/>
          <w:bCs/>
          <w:sz w:val="24"/>
          <w:szCs w:val="24"/>
        </w:rPr>
      </w:pPr>
    </w:p>
    <w:p w14:paraId="43A4BA35" w14:textId="64CFB765" w:rsidR="00EE68F2" w:rsidRDefault="003B6F8A" w:rsidP="006547E5">
      <w:pPr>
        <w:rPr>
          <w:rFonts w:ascii="Arial" w:hAnsi="Arial" w:cs="Arial"/>
          <w:b/>
          <w:bCs/>
          <w:sz w:val="24"/>
          <w:szCs w:val="24"/>
        </w:rPr>
      </w:pPr>
      <w:r>
        <w:rPr>
          <w:rFonts w:ascii="Arial" w:hAnsi="Arial" w:cs="Arial"/>
          <w:b/>
          <w:bCs/>
          <w:sz w:val="24"/>
          <w:szCs w:val="24"/>
        </w:rPr>
        <w:t xml:space="preserve">12. </w:t>
      </w:r>
      <w:r w:rsidR="00EE68F2" w:rsidRPr="00EE68F2">
        <w:rPr>
          <w:rFonts w:ascii="Arial" w:hAnsi="Arial" w:cs="Arial"/>
          <w:b/>
          <w:bCs/>
          <w:sz w:val="24"/>
          <w:szCs w:val="24"/>
        </w:rPr>
        <w:t xml:space="preserve">Responding to </w:t>
      </w:r>
      <w:r w:rsidR="00E42FF0">
        <w:rPr>
          <w:rFonts w:ascii="Arial" w:hAnsi="Arial" w:cs="Arial"/>
          <w:b/>
          <w:bCs/>
          <w:sz w:val="24"/>
          <w:szCs w:val="24"/>
        </w:rPr>
        <w:t>o</w:t>
      </w:r>
      <w:r w:rsidR="00EE68F2" w:rsidRPr="00EE68F2">
        <w:rPr>
          <w:rFonts w:ascii="Arial" w:hAnsi="Arial" w:cs="Arial"/>
          <w:b/>
          <w:bCs/>
          <w:sz w:val="24"/>
          <w:szCs w:val="24"/>
        </w:rPr>
        <w:t xml:space="preserve">ther </w:t>
      </w:r>
      <w:r w:rsidR="00E42FF0">
        <w:rPr>
          <w:rFonts w:ascii="Arial" w:hAnsi="Arial" w:cs="Arial"/>
          <w:b/>
          <w:bCs/>
          <w:sz w:val="24"/>
          <w:szCs w:val="24"/>
        </w:rPr>
        <w:t>r</w:t>
      </w:r>
      <w:r w:rsidR="00EE68F2" w:rsidRPr="00EE68F2">
        <w:rPr>
          <w:rFonts w:ascii="Arial" w:hAnsi="Arial" w:cs="Arial"/>
          <w:b/>
          <w:bCs/>
          <w:sz w:val="24"/>
          <w:szCs w:val="24"/>
        </w:rPr>
        <w:t xml:space="preserve">eported </w:t>
      </w:r>
      <w:r w:rsidR="00E42FF0">
        <w:rPr>
          <w:rFonts w:ascii="Arial" w:hAnsi="Arial" w:cs="Arial"/>
          <w:b/>
          <w:bCs/>
          <w:sz w:val="24"/>
          <w:szCs w:val="24"/>
        </w:rPr>
        <w:t>i</w:t>
      </w:r>
      <w:r w:rsidR="00EE68F2" w:rsidRPr="00EE68F2">
        <w:rPr>
          <w:rFonts w:ascii="Arial" w:hAnsi="Arial" w:cs="Arial"/>
          <w:b/>
          <w:bCs/>
          <w:sz w:val="24"/>
          <w:szCs w:val="24"/>
        </w:rPr>
        <w:t>ncidents</w:t>
      </w:r>
    </w:p>
    <w:p w14:paraId="31A927E3" w14:textId="13CA758E" w:rsidR="00EE68F2" w:rsidRPr="00EE68F2" w:rsidRDefault="00EE68F2" w:rsidP="00936990">
      <w:pPr>
        <w:jc w:val="both"/>
        <w:rPr>
          <w:rFonts w:ascii="Arial" w:hAnsi="Arial" w:cs="Arial"/>
        </w:rPr>
      </w:pPr>
      <w:r w:rsidRPr="00EE68F2">
        <w:rPr>
          <w:rFonts w:ascii="Arial" w:hAnsi="Arial" w:cs="Arial"/>
        </w:rPr>
        <w:t xml:space="preserve">The following incidents </w:t>
      </w:r>
      <w:r w:rsidR="00810DD2">
        <w:rPr>
          <w:rFonts w:ascii="Arial" w:hAnsi="Arial" w:cs="Arial"/>
        </w:rPr>
        <w:t>include any</w:t>
      </w:r>
      <w:r w:rsidRPr="00EE68F2">
        <w:rPr>
          <w:rFonts w:ascii="Arial" w:hAnsi="Arial" w:cs="Arial"/>
        </w:rPr>
        <w:t xml:space="preserve"> that is not a national/regulatory response requirement or one of our identified Trust Priority Incidents. Many of these will be patient safety areas we are aware of, with known contributory factors. These should remain as </w:t>
      </w:r>
      <w:r w:rsidR="00810DD2">
        <w:rPr>
          <w:rFonts w:ascii="Arial" w:hAnsi="Arial" w:cs="Arial"/>
        </w:rPr>
        <w:t>i</w:t>
      </w:r>
      <w:r w:rsidRPr="00EE68F2">
        <w:rPr>
          <w:rFonts w:ascii="Arial" w:hAnsi="Arial" w:cs="Arial"/>
        </w:rPr>
        <w:t xml:space="preserve">ncidents to monitor at this stage because there is a limited resource available to act and improve all patient safety areas. </w:t>
      </w:r>
    </w:p>
    <w:p w14:paraId="2C9F48A2" w14:textId="5F0EA078" w:rsidR="00EE68F2" w:rsidRDefault="00EE68F2" w:rsidP="0008537D">
      <w:pPr>
        <w:jc w:val="both"/>
        <w:rPr>
          <w:b/>
          <w:bCs/>
        </w:rPr>
      </w:pPr>
      <w:r w:rsidRPr="00EE68F2">
        <w:rPr>
          <w:rFonts w:ascii="Arial" w:hAnsi="Arial" w:cs="Arial"/>
        </w:rPr>
        <w:t xml:space="preserve">Some </w:t>
      </w:r>
      <w:r w:rsidR="00810DD2">
        <w:rPr>
          <w:rFonts w:ascii="Arial" w:hAnsi="Arial" w:cs="Arial"/>
        </w:rPr>
        <w:t>i</w:t>
      </w:r>
      <w:r w:rsidRPr="00EE68F2">
        <w:rPr>
          <w:rFonts w:ascii="Arial" w:hAnsi="Arial" w:cs="Arial"/>
        </w:rPr>
        <w:t>ncidents may occur that have a high chance of future risk to patients, staff and the organisation. These may require a proportionate response to understand the contributory factors prior to consideration on department or trust action. Safety concerns will be escalated through the appropriate governance structures and subject matter experts.</w:t>
      </w:r>
    </w:p>
    <w:p w14:paraId="19ED084F" w14:textId="5F5A29B7" w:rsidR="00E42FF0" w:rsidRDefault="00E42FF0" w:rsidP="00EE68F2">
      <w:pPr>
        <w:rPr>
          <w:b/>
          <w:bCs/>
        </w:rPr>
      </w:pPr>
      <w:r>
        <w:rPr>
          <w:b/>
          <w:bCs/>
          <w:noProof/>
        </w:rPr>
        <w:drawing>
          <wp:inline distT="0" distB="0" distL="0" distR="0" wp14:anchorId="284741A0" wp14:editId="24F8296E">
            <wp:extent cx="5724525" cy="3096895"/>
            <wp:effectExtent l="0" t="0" r="9525" b="8255"/>
            <wp:docPr id="1798437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3096895"/>
                    </a:xfrm>
                    <a:prstGeom prst="rect">
                      <a:avLst/>
                    </a:prstGeom>
                    <a:noFill/>
                  </pic:spPr>
                </pic:pic>
              </a:graphicData>
            </a:graphic>
          </wp:inline>
        </w:drawing>
      </w:r>
    </w:p>
    <w:p w14:paraId="715EFCA2" w14:textId="77777777" w:rsidR="00E42FF0" w:rsidRDefault="00E42FF0" w:rsidP="00EE68F2">
      <w:pPr>
        <w:rPr>
          <w:rFonts w:ascii="Arial" w:hAnsi="Arial" w:cs="Arial"/>
          <w:b/>
          <w:bCs/>
          <w:sz w:val="24"/>
          <w:szCs w:val="24"/>
        </w:rPr>
      </w:pPr>
    </w:p>
    <w:p w14:paraId="65DD9C0B" w14:textId="318FB6A7" w:rsidR="00EE68F2" w:rsidRPr="00EE68F2" w:rsidRDefault="003B6F8A" w:rsidP="00EE68F2">
      <w:pPr>
        <w:rPr>
          <w:rFonts w:ascii="Arial" w:hAnsi="Arial" w:cs="Arial"/>
          <w:b/>
          <w:bCs/>
          <w:sz w:val="24"/>
          <w:szCs w:val="24"/>
        </w:rPr>
      </w:pPr>
      <w:r>
        <w:rPr>
          <w:rFonts w:ascii="Arial" w:hAnsi="Arial" w:cs="Arial"/>
          <w:b/>
          <w:bCs/>
          <w:sz w:val="24"/>
          <w:szCs w:val="24"/>
        </w:rPr>
        <w:t xml:space="preserve">13. </w:t>
      </w:r>
      <w:r w:rsidR="00EE68F2" w:rsidRPr="00EE68F2">
        <w:rPr>
          <w:rFonts w:ascii="Arial" w:hAnsi="Arial" w:cs="Arial"/>
          <w:b/>
          <w:bCs/>
          <w:sz w:val="24"/>
          <w:szCs w:val="24"/>
        </w:rPr>
        <w:t xml:space="preserve">Engaging and </w:t>
      </w:r>
      <w:r w:rsidR="00E42FF0">
        <w:rPr>
          <w:rFonts w:ascii="Arial" w:hAnsi="Arial" w:cs="Arial"/>
          <w:b/>
          <w:bCs/>
          <w:sz w:val="24"/>
          <w:szCs w:val="24"/>
        </w:rPr>
        <w:t>i</w:t>
      </w:r>
      <w:r w:rsidR="00EE68F2" w:rsidRPr="00EE68F2">
        <w:rPr>
          <w:rFonts w:ascii="Arial" w:hAnsi="Arial" w:cs="Arial"/>
          <w:b/>
          <w:bCs/>
          <w:sz w:val="24"/>
          <w:szCs w:val="24"/>
        </w:rPr>
        <w:t xml:space="preserve">nvolving </w:t>
      </w:r>
      <w:r w:rsidR="00E42FF0">
        <w:rPr>
          <w:rFonts w:ascii="Arial" w:hAnsi="Arial" w:cs="Arial"/>
          <w:b/>
          <w:bCs/>
          <w:sz w:val="24"/>
          <w:szCs w:val="24"/>
        </w:rPr>
        <w:t>p</w:t>
      </w:r>
      <w:r w:rsidR="00EE68F2" w:rsidRPr="00EE68F2">
        <w:rPr>
          <w:rFonts w:ascii="Arial" w:hAnsi="Arial" w:cs="Arial"/>
          <w:b/>
          <w:bCs/>
          <w:sz w:val="24"/>
          <w:szCs w:val="24"/>
        </w:rPr>
        <w:t xml:space="preserve">atients, </w:t>
      </w:r>
      <w:r w:rsidR="00E42FF0">
        <w:rPr>
          <w:rFonts w:ascii="Arial" w:hAnsi="Arial" w:cs="Arial"/>
          <w:b/>
          <w:bCs/>
          <w:sz w:val="24"/>
          <w:szCs w:val="24"/>
        </w:rPr>
        <w:t>f</w:t>
      </w:r>
      <w:r w:rsidR="00EE68F2" w:rsidRPr="00EE68F2">
        <w:rPr>
          <w:rFonts w:ascii="Arial" w:hAnsi="Arial" w:cs="Arial"/>
          <w:b/>
          <w:bCs/>
          <w:sz w:val="24"/>
          <w:szCs w:val="24"/>
        </w:rPr>
        <w:t xml:space="preserve">amilies and </w:t>
      </w:r>
      <w:r w:rsidR="00E42FF0">
        <w:rPr>
          <w:rFonts w:ascii="Arial" w:hAnsi="Arial" w:cs="Arial"/>
          <w:b/>
          <w:bCs/>
          <w:sz w:val="24"/>
          <w:szCs w:val="24"/>
        </w:rPr>
        <w:t>s</w:t>
      </w:r>
      <w:r w:rsidR="00EE68F2" w:rsidRPr="00EE68F2">
        <w:rPr>
          <w:rFonts w:ascii="Arial" w:hAnsi="Arial" w:cs="Arial"/>
          <w:b/>
          <w:bCs/>
          <w:sz w:val="24"/>
          <w:szCs w:val="24"/>
        </w:rPr>
        <w:t xml:space="preserve">taff </w:t>
      </w:r>
    </w:p>
    <w:p w14:paraId="22B27745" w14:textId="5E05DB0D" w:rsidR="00EE68F2" w:rsidRDefault="000E185D" w:rsidP="00936990">
      <w:pPr>
        <w:jc w:val="both"/>
        <w:rPr>
          <w:rFonts w:ascii="Arial" w:hAnsi="Arial" w:cs="Arial"/>
        </w:rPr>
      </w:pPr>
      <w:r w:rsidRPr="000E185D">
        <w:rPr>
          <w:rFonts w:ascii="Arial" w:hAnsi="Arial" w:cs="Arial"/>
        </w:rPr>
        <w:t xml:space="preserve">Patients and families provide a unique and meaningful insight into patient safety </w:t>
      </w:r>
      <w:r w:rsidR="00810DD2">
        <w:rPr>
          <w:rFonts w:ascii="Arial" w:hAnsi="Arial" w:cs="Arial"/>
        </w:rPr>
        <w:t>i</w:t>
      </w:r>
      <w:r w:rsidR="00810DD2" w:rsidRPr="000E185D">
        <w:rPr>
          <w:rFonts w:ascii="Arial" w:hAnsi="Arial" w:cs="Arial"/>
        </w:rPr>
        <w:t xml:space="preserve">ncidents </w:t>
      </w:r>
      <w:r w:rsidRPr="000E185D">
        <w:rPr>
          <w:rFonts w:ascii="Arial" w:hAnsi="Arial" w:cs="Arial"/>
        </w:rPr>
        <w:t xml:space="preserve">and their involvement and contribution to a learning response can help to develop a relationship of openness and trust, leading to </w:t>
      </w:r>
      <w:r w:rsidR="00810DD2">
        <w:rPr>
          <w:rFonts w:ascii="Arial" w:hAnsi="Arial" w:cs="Arial"/>
        </w:rPr>
        <w:t>and understanding of</w:t>
      </w:r>
      <w:r w:rsidRPr="000E185D">
        <w:rPr>
          <w:rFonts w:ascii="Arial" w:hAnsi="Arial" w:cs="Arial"/>
        </w:rPr>
        <w:t xml:space="preserve"> how the organisation responds to safety </w:t>
      </w:r>
      <w:r w:rsidR="00810DD2">
        <w:rPr>
          <w:rFonts w:ascii="Arial" w:hAnsi="Arial" w:cs="Arial"/>
        </w:rPr>
        <w:t>i</w:t>
      </w:r>
      <w:r w:rsidRPr="000E185D">
        <w:rPr>
          <w:rFonts w:ascii="Arial" w:hAnsi="Arial" w:cs="Arial"/>
        </w:rPr>
        <w:t xml:space="preserve">ncidents. All staff are expected to demonstrate compassionate interactions with patients and families following a safety </w:t>
      </w:r>
      <w:r w:rsidR="00810DD2">
        <w:rPr>
          <w:rFonts w:ascii="Arial" w:hAnsi="Arial" w:cs="Arial"/>
        </w:rPr>
        <w:t>i</w:t>
      </w:r>
      <w:r w:rsidRPr="000E185D">
        <w:rPr>
          <w:rFonts w:ascii="Arial" w:hAnsi="Arial" w:cs="Arial"/>
        </w:rPr>
        <w:t>ncident.</w:t>
      </w:r>
    </w:p>
    <w:p w14:paraId="4A40468E" w14:textId="20DE6888" w:rsidR="000E185D" w:rsidRDefault="003B6F8A" w:rsidP="000E185D">
      <w:pPr>
        <w:rPr>
          <w:rFonts w:ascii="Arial" w:hAnsi="Arial" w:cs="Arial"/>
          <w:b/>
          <w:bCs/>
          <w:sz w:val="24"/>
          <w:szCs w:val="24"/>
        </w:rPr>
      </w:pPr>
      <w:r>
        <w:rPr>
          <w:rFonts w:ascii="Arial" w:hAnsi="Arial" w:cs="Arial"/>
          <w:b/>
          <w:bCs/>
          <w:sz w:val="24"/>
          <w:szCs w:val="24"/>
        </w:rPr>
        <w:t xml:space="preserve">14. </w:t>
      </w:r>
      <w:r w:rsidR="000E185D" w:rsidRPr="000E185D">
        <w:rPr>
          <w:rFonts w:ascii="Arial" w:hAnsi="Arial" w:cs="Arial"/>
          <w:b/>
          <w:bCs/>
          <w:sz w:val="24"/>
          <w:szCs w:val="24"/>
        </w:rPr>
        <w:t xml:space="preserve">Duty of Candour </w:t>
      </w:r>
      <w:r w:rsidR="00810DD2">
        <w:rPr>
          <w:rFonts w:ascii="Arial" w:hAnsi="Arial" w:cs="Arial"/>
          <w:b/>
          <w:bCs/>
          <w:sz w:val="24"/>
          <w:szCs w:val="24"/>
        </w:rPr>
        <w:t>and</w:t>
      </w:r>
      <w:r w:rsidR="000E185D" w:rsidRPr="000E185D">
        <w:rPr>
          <w:rFonts w:ascii="Arial" w:hAnsi="Arial" w:cs="Arial"/>
          <w:b/>
          <w:bCs/>
          <w:sz w:val="24"/>
          <w:szCs w:val="24"/>
        </w:rPr>
        <w:t xml:space="preserve"> </w:t>
      </w:r>
      <w:r w:rsidR="00E42FF0">
        <w:rPr>
          <w:rFonts w:ascii="Arial" w:hAnsi="Arial" w:cs="Arial"/>
          <w:b/>
          <w:bCs/>
          <w:sz w:val="24"/>
          <w:szCs w:val="24"/>
        </w:rPr>
        <w:t>n</w:t>
      </w:r>
      <w:r w:rsidR="000E185D" w:rsidRPr="000E185D">
        <w:rPr>
          <w:rFonts w:ascii="Arial" w:hAnsi="Arial" w:cs="Arial"/>
          <w:b/>
          <w:bCs/>
          <w:sz w:val="24"/>
          <w:szCs w:val="24"/>
        </w:rPr>
        <w:t xml:space="preserve">otifiable </w:t>
      </w:r>
      <w:r w:rsidR="00E42FF0">
        <w:rPr>
          <w:rFonts w:ascii="Arial" w:hAnsi="Arial" w:cs="Arial"/>
          <w:b/>
          <w:bCs/>
          <w:sz w:val="24"/>
          <w:szCs w:val="24"/>
        </w:rPr>
        <w:t>s</w:t>
      </w:r>
      <w:r w:rsidR="000E185D" w:rsidRPr="000E185D">
        <w:rPr>
          <w:rFonts w:ascii="Arial" w:hAnsi="Arial" w:cs="Arial"/>
          <w:b/>
          <w:bCs/>
          <w:sz w:val="24"/>
          <w:szCs w:val="24"/>
        </w:rPr>
        <w:t xml:space="preserve">afety </w:t>
      </w:r>
      <w:r w:rsidR="00E42FF0">
        <w:rPr>
          <w:rFonts w:ascii="Arial" w:hAnsi="Arial" w:cs="Arial"/>
          <w:b/>
          <w:bCs/>
          <w:sz w:val="24"/>
          <w:szCs w:val="24"/>
        </w:rPr>
        <w:t>i</w:t>
      </w:r>
      <w:r w:rsidR="000E185D" w:rsidRPr="000E185D">
        <w:rPr>
          <w:rFonts w:ascii="Arial" w:hAnsi="Arial" w:cs="Arial"/>
          <w:b/>
          <w:bCs/>
          <w:sz w:val="24"/>
          <w:szCs w:val="24"/>
        </w:rPr>
        <w:t>ncidents</w:t>
      </w:r>
    </w:p>
    <w:p w14:paraId="59FEDC3F" w14:textId="36543148" w:rsidR="000E185D" w:rsidRDefault="000E185D" w:rsidP="002A5716">
      <w:pPr>
        <w:jc w:val="both"/>
        <w:rPr>
          <w:rFonts w:ascii="Arial" w:hAnsi="Arial" w:cs="Arial"/>
        </w:rPr>
      </w:pPr>
      <w:r w:rsidRPr="000E185D">
        <w:rPr>
          <w:rFonts w:ascii="Arial" w:hAnsi="Arial" w:cs="Arial"/>
        </w:rPr>
        <w:t xml:space="preserve">If a patient safety </w:t>
      </w:r>
      <w:r w:rsidR="00810DD2">
        <w:rPr>
          <w:rFonts w:ascii="Arial" w:hAnsi="Arial" w:cs="Arial"/>
        </w:rPr>
        <w:t>i</w:t>
      </w:r>
      <w:r w:rsidRPr="000E185D">
        <w:rPr>
          <w:rFonts w:ascii="Arial" w:hAnsi="Arial" w:cs="Arial"/>
        </w:rPr>
        <w:t xml:space="preserve">ncident is confirmed as being notifiable, then </w:t>
      </w:r>
      <w:r w:rsidR="00810DD2">
        <w:rPr>
          <w:rFonts w:ascii="Arial" w:hAnsi="Arial" w:cs="Arial"/>
        </w:rPr>
        <w:t>s</w:t>
      </w:r>
      <w:r w:rsidR="00810DD2" w:rsidRPr="000E185D">
        <w:rPr>
          <w:rFonts w:ascii="Arial" w:hAnsi="Arial" w:cs="Arial"/>
        </w:rPr>
        <w:t xml:space="preserve">tatutory </w:t>
      </w:r>
      <w:r w:rsidRPr="000E185D">
        <w:rPr>
          <w:rFonts w:ascii="Arial" w:hAnsi="Arial" w:cs="Arial"/>
        </w:rPr>
        <w:t xml:space="preserve">Duty of Candour (DoC) will apply. This requires us to discharge </w:t>
      </w:r>
      <w:r w:rsidR="00810DD2">
        <w:rPr>
          <w:rFonts w:ascii="Arial" w:hAnsi="Arial" w:cs="Arial"/>
        </w:rPr>
        <w:t>v</w:t>
      </w:r>
      <w:r w:rsidR="00810DD2" w:rsidRPr="000E185D">
        <w:rPr>
          <w:rFonts w:ascii="Arial" w:hAnsi="Arial" w:cs="Arial"/>
        </w:rPr>
        <w:t xml:space="preserve">erbal </w:t>
      </w:r>
      <w:r w:rsidRPr="000E185D">
        <w:rPr>
          <w:rFonts w:ascii="Arial" w:hAnsi="Arial" w:cs="Arial"/>
        </w:rPr>
        <w:t xml:space="preserve">and </w:t>
      </w:r>
      <w:r w:rsidR="00810DD2">
        <w:rPr>
          <w:rFonts w:ascii="Arial" w:hAnsi="Arial" w:cs="Arial"/>
        </w:rPr>
        <w:t>w</w:t>
      </w:r>
      <w:r w:rsidR="00810DD2" w:rsidRPr="000E185D">
        <w:rPr>
          <w:rFonts w:ascii="Arial" w:hAnsi="Arial" w:cs="Arial"/>
        </w:rPr>
        <w:t xml:space="preserve">ritten </w:t>
      </w:r>
      <w:r w:rsidRPr="000E185D">
        <w:rPr>
          <w:rFonts w:ascii="Arial" w:hAnsi="Arial" w:cs="Arial"/>
        </w:rPr>
        <w:t>DoC as well as shar</w:t>
      </w:r>
      <w:r w:rsidR="00810DD2">
        <w:rPr>
          <w:rFonts w:ascii="Arial" w:hAnsi="Arial" w:cs="Arial"/>
        </w:rPr>
        <w:t>ing</w:t>
      </w:r>
      <w:r w:rsidRPr="000E185D">
        <w:rPr>
          <w:rFonts w:ascii="Arial" w:hAnsi="Arial" w:cs="Arial"/>
        </w:rPr>
        <w:t xml:space="preserve"> the outcome. Patients and families will be inv</w:t>
      </w:r>
      <w:r w:rsidR="00E93C29">
        <w:rPr>
          <w:rFonts w:ascii="Arial" w:hAnsi="Arial" w:cs="Arial"/>
        </w:rPr>
        <w:t>ited to be involved</w:t>
      </w:r>
      <w:r w:rsidRPr="000E185D">
        <w:rPr>
          <w:rFonts w:ascii="Arial" w:hAnsi="Arial" w:cs="Arial"/>
        </w:rPr>
        <w:t xml:space="preserve"> as part of the learning response. For cases where DoC </w:t>
      </w:r>
      <w:r w:rsidR="004316A3" w:rsidRPr="000E185D">
        <w:rPr>
          <w:rFonts w:ascii="Arial" w:hAnsi="Arial" w:cs="Arial"/>
        </w:rPr>
        <w:t>applies,</w:t>
      </w:r>
      <w:r w:rsidRPr="000E185D">
        <w:rPr>
          <w:rFonts w:ascii="Arial" w:hAnsi="Arial" w:cs="Arial"/>
        </w:rPr>
        <w:t xml:space="preserve"> and no investigation </w:t>
      </w:r>
      <w:r w:rsidR="00E93C29">
        <w:rPr>
          <w:rFonts w:ascii="Arial" w:hAnsi="Arial" w:cs="Arial"/>
        </w:rPr>
        <w:t xml:space="preserve">is </w:t>
      </w:r>
      <w:r w:rsidRPr="000E185D">
        <w:rPr>
          <w:rFonts w:ascii="Arial" w:hAnsi="Arial" w:cs="Arial"/>
        </w:rPr>
        <w:t>required as part of the response framework</w:t>
      </w:r>
      <w:r w:rsidR="00810DD2">
        <w:rPr>
          <w:rFonts w:ascii="Arial" w:hAnsi="Arial" w:cs="Arial"/>
        </w:rPr>
        <w:t>,</w:t>
      </w:r>
      <w:r w:rsidRPr="000E185D">
        <w:rPr>
          <w:rFonts w:ascii="Arial" w:hAnsi="Arial" w:cs="Arial"/>
        </w:rPr>
        <w:t xml:space="preserve"> we will complete the DoC requirement through a </w:t>
      </w:r>
      <w:r w:rsidR="00E93C29">
        <w:rPr>
          <w:rFonts w:ascii="Arial" w:hAnsi="Arial" w:cs="Arial"/>
        </w:rPr>
        <w:t xml:space="preserve">verbal and </w:t>
      </w:r>
      <w:r w:rsidRPr="000E185D">
        <w:rPr>
          <w:rFonts w:ascii="Arial" w:hAnsi="Arial" w:cs="Arial"/>
        </w:rPr>
        <w:t>written response</w:t>
      </w:r>
      <w:r w:rsidR="00E93C29">
        <w:rPr>
          <w:rFonts w:ascii="Arial" w:hAnsi="Arial" w:cs="Arial"/>
        </w:rPr>
        <w:t>.</w:t>
      </w:r>
      <w:r w:rsidRPr="000E185D">
        <w:rPr>
          <w:rFonts w:ascii="Arial" w:hAnsi="Arial" w:cs="Arial"/>
        </w:rPr>
        <w:t xml:space="preserve"> </w:t>
      </w:r>
      <w:r w:rsidR="00E93C29">
        <w:rPr>
          <w:rFonts w:ascii="Arial" w:hAnsi="Arial" w:cs="Arial"/>
        </w:rPr>
        <w:t>This will</w:t>
      </w:r>
      <w:r w:rsidRPr="000E185D">
        <w:rPr>
          <w:rFonts w:ascii="Arial" w:hAnsi="Arial" w:cs="Arial"/>
        </w:rPr>
        <w:t xml:space="preserve"> include the </w:t>
      </w:r>
      <w:r w:rsidR="00810DD2">
        <w:rPr>
          <w:rFonts w:ascii="Arial" w:hAnsi="Arial" w:cs="Arial"/>
        </w:rPr>
        <w:t xml:space="preserve">associated </w:t>
      </w:r>
      <w:r w:rsidRPr="000E185D">
        <w:rPr>
          <w:rFonts w:ascii="Arial" w:hAnsi="Arial" w:cs="Arial"/>
        </w:rPr>
        <w:t xml:space="preserve">improvement plan and information and assurance on what approach was taken and why. The responsibility for DoC lies with the clinicians and </w:t>
      </w:r>
      <w:r w:rsidR="00810DD2">
        <w:rPr>
          <w:rFonts w:ascii="Arial" w:hAnsi="Arial" w:cs="Arial"/>
        </w:rPr>
        <w:t>clinical board</w:t>
      </w:r>
      <w:r w:rsidRPr="000E185D">
        <w:rPr>
          <w:rFonts w:ascii="Arial" w:hAnsi="Arial" w:cs="Arial"/>
        </w:rPr>
        <w:t xml:space="preserve"> </w:t>
      </w:r>
      <w:r w:rsidR="00E93C29">
        <w:rPr>
          <w:rFonts w:ascii="Arial" w:hAnsi="Arial" w:cs="Arial"/>
        </w:rPr>
        <w:t>where the</w:t>
      </w:r>
      <w:r w:rsidRPr="000E185D">
        <w:rPr>
          <w:rFonts w:ascii="Arial" w:hAnsi="Arial" w:cs="Arial"/>
        </w:rPr>
        <w:t xml:space="preserve"> incident</w:t>
      </w:r>
      <w:r w:rsidR="00E93C29">
        <w:rPr>
          <w:rFonts w:ascii="Arial" w:hAnsi="Arial" w:cs="Arial"/>
        </w:rPr>
        <w:t xml:space="preserve"> occurred</w:t>
      </w:r>
      <w:r w:rsidRPr="000E185D">
        <w:rPr>
          <w:rFonts w:ascii="Arial" w:hAnsi="Arial" w:cs="Arial"/>
        </w:rPr>
        <w:t xml:space="preserve">. </w:t>
      </w:r>
    </w:p>
    <w:p w14:paraId="0FB65FEC" w14:textId="2756DD3A" w:rsidR="0026049D" w:rsidRPr="0026049D" w:rsidRDefault="003B6F8A" w:rsidP="0026049D">
      <w:pPr>
        <w:rPr>
          <w:rFonts w:ascii="Arial" w:hAnsi="Arial" w:cs="Arial"/>
          <w:b/>
          <w:bCs/>
          <w:sz w:val="24"/>
          <w:szCs w:val="24"/>
        </w:rPr>
      </w:pPr>
      <w:r>
        <w:rPr>
          <w:rFonts w:ascii="Arial" w:hAnsi="Arial" w:cs="Arial"/>
          <w:b/>
          <w:bCs/>
          <w:sz w:val="24"/>
          <w:szCs w:val="24"/>
        </w:rPr>
        <w:lastRenderedPageBreak/>
        <w:t>15</w:t>
      </w:r>
      <w:r w:rsidR="00BD50CB">
        <w:rPr>
          <w:rFonts w:ascii="Arial" w:hAnsi="Arial" w:cs="Arial"/>
          <w:b/>
          <w:bCs/>
          <w:sz w:val="24"/>
          <w:szCs w:val="24"/>
        </w:rPr>
        <w:t>.</w:t>
      </w:r>
      <w:r>
        <w:rPr>
          <w:rFonts w:ascii="Arial" w:hAnsi="Arial" w:cs="Arial"/>
          <w:b/>
          <w:bCs/>
          <w:sz w:val="24"/>
          <w:szCs w:val="24"/>
        </w:rPr>
        <w:t xml:space="preserve"> </w:t>
      </w:r>
      <w:r w:rsidR="0026049D" w:rsidRPr="0026049D">
        <w:rPr>
          <w:rFonts w:ascii="Arial" w:hAnsi="Arial" w:cs="Arial"/>
          <w:b/>
          <w:bCs/>
          <w:sz w:val="24"/>
          <w:szCs w:val="24"/>
        </w:rPr>
        <w:t xml:space="preserve">Management and </w:t>
      </w:r>
      <w:r w:rsidR="00E42FF0">
        <w:rPr>
          <w:rFonts w:ascii="Arial" w:hAnsi="Arial" w:cs="Arial"/>
          <w:b/>
          <w:bCs/>
          <w:sz w:val="24"/>
          <w:szCs w:val="24"/>
        </w:rPr>
        <w:t>i</w:t>
      </w:r>
      <w:r w:rsidR="0026049D" w:rsidRPr="0026049D">
        <w:rPr>
          <w:rFonts w:ascii="Arial" w:hAnsi="Arial" w:cs="Arial"/>
          <w:b/>
          <w:bCs/>
          <w:sz w:val="24"/>
          <w:szCs w:val="24"/>
        </w:rPr>
        <w:t xml:space="preserve">dentification of Trust </w:t>
      </w:r>
      <w:r w:rsidR="00E42FF0">
        <w:rPr>
          <w:rFonts w:ascii="Arial" w:hAnsi="Arial" w:cs="Arial"/>
          <w:b/>
          <w:bCs/>
          <w:sz w:val="24"/>
          <w:szCs w:val="24"/>
        </w:rPr>
        <w:t>i</w:t>
      </w:r>
      <w:r w:rsidR="0026049D" w:rsidRPr="0026049D">
        <w:rPr>
          <w:rFonts w:ascii="Arial" w:hAnsi="Arial" w:cs="Arial"/>
          <w:b/>
          <w:bCs/>
          <w:sz w:val="24"/>
          <w:szCs w:val="24"/>
        </w:rPr>
        <w:t xml:space="preserve">mprovement </w:t>
      </w:r>
      <w:r w:rsidR="00E42FF0">
        <w:rPr>
          <w:rFonts w:ascii="Arial" w:hAnsi="Arial" w:cs="Arial"/>
          <w:b/>
          <w:bCs/>
          <w:sz w:val="24"/>
          <w:szCs w:val="24"/>
        </w:rPr>
        <w:t>p</w:t>
      </w:r>
      <w:r w:rsidR="0026049D" w:rsidRPr="0026049D">
        <w:rPr>
          <w:rFonts w:ascii="Arial" w:hAnsi="Arial" w:cs="Arial"/>
          <w:b/>
          <w:bCs/>
          <w:sz w:val="24"/>
          <w:szCs w:val="24"/>
        </w:rPr>
        <w:t xml:space="preserve">riorities </w:t>
      </w:r>
    </w:p>
    <w:p w14:paraId="11147CA7" w14:textId="2AA6371B" w:rsidR="000E185D" w:rsidRDefault="0026049D" w:rsidP="002A5716">
      <w:pPr>
        <w:jc w:val="both"/>
        <w:rPr>
          <w:rFonts w:ascii="Arial" w:hAnsi="Arial" w:cs="Arial"/>
        </w:rPr>
      </w:pPr>
      <w:r w:rsidRPr="0026049D">
        <w:rPr>
          <w:rFonts w:ascii="Arial" w:hAnsi="Arial" w:cs="Arial"/>
        </w:rPr>
        <w:t xml:space="preserve">The process for managing new improvement work identified through </w:t>
      </w:r>
      <w:r w:rsidR="00810DD2">
        <w:rPr>
          <w:rFonts w:ascii="Arial" w:hAnsi="Arial" w:cs="Arial"/>
        </w:rPr>
        <w:t>i</w:t>
      </w:r>
      <w:r w:rsidR="00810DD2" w:rsidRPr="0026049D">
        <w:rPr>
          <w:rFonts w:ascii="Arial" w:hAnsi="Arial" w:cs="Arial"/>
        </w:rPr>
        <w:t>ncidents</w:t>
      </w:r>
      <w:r w:rsidRPr="0026049D">
        <w:rPr>
          <w:rFonts w:ascii="Arial" w:hAnsi="Arial" w:cs="Arial"/>
        </w:rPr>
        <w:t xml:space="preserve">, risk assessment, learning from deaths, inquests, claims clinical audit and outcomes and patient feedback (such as complaints or patient surveys) must be continuous. The priority </w:t>
      </w:r>
      <w:r w:rsidR="00810DD2">
        <w:rPr>
          <w:rFonts w:ascii="Arial" w:hAnsi="Arial" w:cs="Arial"/>
        </w:rPr>
        <w:t>i</w:t>
      </w:r>
      <w:r w:rsidR="00810DD2" w:rsidRPr="0026049D">
        <w:rPr>
          <w:rFonts w:ascii="Arial" w:hAnsi="Arial" w:cs="Arial"/>
        </w:rPr>
        <w:t xml:space="preserve">ncidents </w:t>
      </w:r>
      <w:r w:rsidRPr="0026049D">
        <w:rPr>
          <w:rFonts w:ascii="Arial" w:hAnsi="Arial" w:cs="Arial"/>
        </w:rPr>
        <w:t xml:space="preserve">and subsequent improvement plans detailed in this document have been developed from triangulated data over the last three years. These will be the focus over the next 12-18 months; however, other safety issues will continue to be identified. New safety issues will be discussed and confirmed through the Trust governance structures. </w:t>
      </w:r>
      <w:r w:rsidR="008D347B">
        <w:rPr>
          <w:rFonts w:ascii="Arial" w:hAnsi="Arial" w:cs="Arial"/>
        </w:rPr>
        <w:t>The improvement priorities will undertake focused work and as part of this will identify improvement aims and improvement metrics..</w:t>
      </w:r>
    </w:p>
    <w:p w14:paraId="4D2EAE77" w14:textId="5E4868BC" w:rsidR="0026049D" w:rsidRPr="0026049D" w:rsidRDefault="003B6F8A" w:rsidP="0026049D">
      <w:pPr>
        <w:rPr>
          <w:rFonts w:ascii="Arial" w:hAnsi="Arial" w:cs="Arial"/>
          <w:b/>
          <w:bCs/>
        </w:rPr>
      </w:pPr>
      <w:r>
        <w:rPr>
          <w:rFonts w:ascii="Arial" w:hAnsi="Arial" w:cs="Arial"/>
          <w:b/>
          <w:bCs/>
        </w:rPr>
        <w:t xml:space="preserve">16. </w:t>
      </w:r>
      <w:r w:rsidR="0026049D" w:rsidRPr="0026049D">
        <w:rPr>
          <w:rFonts w:ascii="Arial" w:hAnsi="Arial" w:cs="Arial"/>
          <w:b/>
          <w:bCs/>
        </w:rPr>
        <w:t xml:space="preserve">Cross-System </w:t>
      </w:r>
      <w:r w:rsidR="00E42FF0">
        <w:rPr>
          <w:rFonts w:ascii="Arial" w:hAnsi="Arial" w:cs="Arial"/>
          <w:b/>
          <w:bCs/>
        </w:rPr>
        <w:t>l</w:t>
      </w:r>
      <w:r w:rsidR="0026049D" w:rsidRPr="0026049D">
        <w:rPr>
          <w:rFonts w:ascii="Arial" w:hAnsi="Arial" w:cs="Arial"/>
          <w:b/>
          <w:bCs/>
        </w:rPr>
        <w:t xml:space="preserve">earning </w:t>
      </w:r>
      <w:r w:rsidR="00E42FF0">
        <w:rPr>
          <w:rFonts w:ascii="Arial" w:hAnsi="Arial" w:cs="Arial"/>
          <w:b/>
          <w:bCs/>
        </w:rPr>
        <w:t>r</w:t>
      </w:r>
      <w:r w:rsidR="0026049D" w:rsidRPr="0026049D">
        <w:rPr>
          <w:rFonts w:ascii="Arial" w:hAnsi="Arial" w:cs="Arial"/>
          <w:b/>
          <w:bCs/>
        </w:rPr>
        <w:t xml:space="preserve">esponses </w:t>
      </w:r>
    </w:p>
    <w:p w14:paraId="57E20C7F" w14:textId="273783E2" w:rsidR="0026049D" w:rsidRDefault="0026049D" w:rsidP="002A5716">
      <w:pPr>
        <w:jc w:val="both"/>
        <w:rPr>
          <w:rFonts w:ascii="Arial" w:hAnsi="Arial" w:cs="Arial"/>
        </w:rPr>
      </w:pPr>
      <w:r w:rsidRPr="0026049D">
        <w:rPr>
          <w:rFonts w:ascii="Arial" w:hAnsi="Arial" w:cs="Arial"/>
        </w:rPr>
        <w:t xml:space="preserve">These will generally be managed by </w:t>
      </w:r>
      <w:r w:rsidR="00810DD2">
        <w:rPr>
          <w:rFonts w:ascii="Arial" w:hAnsi="Arial" w:cs="Arial"/>
        </w:rPr>
        <w:t xml:space="preserve">individual </w:t>
      </w:r>
      <w:r w:rsidR="00A36D62">
        <w:rPr>
          <w:rFonts w:ascii="Arial" w:hAnsi="Arial" w:cs="Arial"/>
        </w:rPr>
        <w:t>organisations</w:t>
      </w:r>
      <w:r w:rsidR="00A36D62" w:rsidRPr="0026049D">
        <w:rPr>
          <w:rFonts w:ascii="Arial" w:hAnsi="Arial" w:cs="Arial"/>
        </w:rPr>
        <w:t xml:space="preserve"> to</w:t>
      </w:r>
      <w:r w:rsidRPr="0026049D">
        <w:rPr>
          <w:rFonts w:ascii="Arial" w:hAnsi="Arial" w:cs="Arial"/>
        </w:rPr>
        <w:t xml:space="preserve"> facilitate the involvement of people affected and those responsible for delivery of the services. However, if </w:t>
      </w:r>
      <w:r w:rsidR="00810DD2">
        <w:rPr>
          <w:rFonts w:ascii="Arial" w:hAnsi="Arial" w:cs="Arial"/>
        </w:rPr>
        <w:t>Newcastle Hospitals</w:t>
      </w:r>
      <w:r w:rsidRPr="0026049D">
        <w:rPr>
          <w:rFonts w:ascii="Arial" w:hAnsi="Arial" w:cs="Arial"/>
        </w:rPr>
        <w:t xml:space="preserve">, another Trust or the </w:t>
      </w:r>
      <w:r w:rsidR="00810DD2">
        <w:rPr>
          <w:rFonts w:ascii="Arial" w:hAnsi="Arial" w:cs="Arial"/>
        </w:rPr>
        <w:t xml:space="preserve">North East and North Cumbria Integrated Care Board </w:t>
      </w:r>
      <w:r w:rsidRPr="0026049D">
        <w:rPr>
          <w:rFonts w:ascii="Arial" w:hAnsi="Arial" w:cs="Arial"/>
        </w:rPr>
        <w:t>identify that a cross</w:t>
      </w:r>
      <w:r w:rsidR="00810DD2">
        <w:rPr>
          <w:rFonts w:ascii="Arial" w:hAnsi="Arial" w:cs="Arial"/>
        </w:rPr>
        <w:t>-system</w:t>
      </w:r>
      <w:r w:rsidRPr="0026049D">
        <w:rPr>
          <w:rFonts w:ascii="Arial" w:hAnsi="Arial" w:cs="Arial"/>
        </w:rPr>
        <w:t xml:space="preserve"> learning response is required, a shared agreement on the lead and delivery of this response and subsequent improvement will be confirmed with the ICB.</w:t>
      </w:r>
    </w:p>
    <w:p w14:paraId="62DF3C13" w14:textId="5CFAFE50" w:rsidR="0020014F" w:rsidRDefault="0020014F" w:rsidP="0026049D">
      <w:pPr>
        <w:rPr>
          <w:rFonts w:ascii="Arial" w:hAnsi="Arial" w:cs="Arial"/>
          <w:b/>
          <w:bCs/>
        </w:rPr>
      </w:pPr>
      <w:r w:rsidRPr="0020014F">
        <w:rPr>
          <w:rFonts w:ascii="Arial" w:hAnsi="Arial" w:cs="Arial"/>
          <w:b/>
          <w:bCs/>
        </w:rPr>
        <w:t>17. Training requirements</w:t>
      </w:r>
    </w:p>
    <w:p w14:paraId="297BFFD5" w14:textId="50651462" w:rsidR="00E815AE" w:rsidRDefault="0020014F" w:rsidP="002A5716">
      <w:pPr>
        <w:jc w:val="both"/>
        <w:rPr>
          <w:rFonts w:ascii="Arial" w:hAnsi="Arial" w:cs="Arial"/>
        </w:rPr>
      </w:pPr>
      <w:r>
        <w:rPr>
          <w:rFonts w:ascii="Arial" w:hAnsi="Arial" w:cs="Arial"/>
        </w:rPr>
        <w:t>The transition to PSIRF fr</w:t>
      </w:r>
      <w:r w:rsidR="009E4063">
        <w:rPr>
          <w:rFonts w:ascii="Arial" w:hAnsi="Arial" w:cs="Arial"/>
        </w:rPr>
        <w:t>o</w:t>
      </w:r>
      <w:r>
        <w:rPr>
          <w:rFonts w:ascii="Arial" w:hAnsi="Arial" w:cs="Arial"/>
        </w:rPr>
        <w:t xml:space="preserve">m the </w:t>
      </w:r>
      <w:r w:rsidR="00E815AE">
        <w:rPr>
          <w:rFonts w:ascii="Arial" w:hAnsi="Arial" w:cs="Arial"/>
        </w:rPr>
        <w:t xml:space="preserve">previous </w:t>
      </w:r>
      <w:r w:rsidR="009E4063">
        <w:rPr>
          <w:rFonts w:ascii="Arial" w:hAnsi="Arial" w:cs="Arial"/>
        </w:rPr>
        <w:t>Serious</w:t>
      </w:r>
      <w:r>
        <w:rPr>
          <w:rFonts w:ascii="Arial" w:hAnsi="Arial" w:cs="Arial"/>
        </w:rPr>
        <w:t xml:space="preserve"> Incident Framework</w:t>
      </w:r>
      <w:r w:rsidR="009E4063">
        <w:rPr>
          <w:rFonts w:ascii="Arial" w:hAnsi="Arial" w:cs="Arial"/>
        </w:rPr>
        <w:t xml:space="preserve"> will be a significant change in </w:t>
      </w:r>
      <w:r w:rsidR="00E815AE">
        <w:rPr>
          <w:rFonts w:ascii="Arial" w:hAnsi="Arial" w:cs="Arial"/>
        </w:rPr>
        <w:t>Newcastle Hospitals</w:t>
      </w:r>
      <w:r w:rsidR="009E4063">
        <w:rPr>
          <w:rFonts w:ascii="Arial" w:hAnsi="Arial" w:cs="Arial"/>
        </w:rPr>
        <w:t xml:space="preserve">. The Serious Incident Framework has been used for many years (the current version since 2015) and is embedded in governance processes. </w:t>
      </w:r>
    </w:p>
    <w:p w14:paraId="785C045D" w14:textId="555045F0" w:rsidR="0020014F" w:rsidRDefault="00E815AE" w:rsidP="002A5716">
      <w:pPr>
        <w:jc w:val="both"/>
        <w:rPr>
          <w:rFonts w:ascii="Arial" w:hAnsi="Arial" w:cs="Arial"/>
        </w:rPr>
      </w:pPr>
      <w:r>
        <w:rPr>
          <w:rFonts w:ascii="Arial" w:hAnsi="Arial" w:cs="Arial"/>
        </w:rPr>
        <w:t>Under</w:t>
      </w:r>
      <w:r w:rsidR="009E4063">
        <w:rPr>
          <w:rFonts w:ascii="Arial" w:hAnsi="Arial" w:cs="Arial"/>
        </w:rPr>
        <w:t xml:space="preserve"> PSIRF</w:t>
      </w:r>
      <w:r>
        <w:rPr>
          <w:rFonts w:ascii="Arial" w:hAnsi="Arial" w:cs="Arial"/>
        </w:rPr>
        <w:t>,</w:t>
      </w:r>
      <w:r w:rsidR="009E4063">
        <w:rPr>
          <w:rFonts w:ascii="Arial" w:hAnsi="Arial" w:cs="Arial"/>
        </w:rPr>
        <w:t xml:space="preserve"> the newly formed Clinical Boards will take increasing ownership for incident investigations supported by the Clinical Governance and Risk Department and the Clinical Directors for Patient </w:t>
      </w:r>
      <w:r w:rsidR="008D347B">
        <w:rPr>
          <w:rFonts w:ascii="Arial" w:hAnsi="Arial" w:cs="Arial"/>
        </w:rPr>
        <w:t>S</w:t>
      </w:r>
      <w:r w:rsidR="009E4063">
        <w:rPr>
          <w:rFonts w:ascii="Arial" w:hAnsi="Arial" w:cs="Arial"/>
        </w:rPr>
        <w:t xml:space="preserve">afety and Quality. </w:t>
      </w:r>
      <w:r>
        <w:rPr>
          <w:rFonts w:ascii="Arial" w:hAnsi="Arial" w:cs="Arial"/>
        </w:rPr>
        <w:t xml:space="preserve"> </w:t>
      </w:r>
      <w:r w:rsidR="009E4063">
        <w:rPr>
          <w:rFonts w:ascii="Arial" w:hAnsi="Arial" w:cs="Arial"/>
        </w:rPr>
        <w:t xml:space="preserve">A new role of Quality and Safety lead has been created by the Boards to support this and other oversight processes. It is recognised that training for incident investigation using the </w:t>
      </w:r>
      <w:r w:rsidR="00173320">
        <w:rPr>
          <w:rFonts w:ascii="Arial" w:hAnsi="Arial" w:cs="Arial"/>
        </w:rPr>
        <w:t>systems-based</w:t>
      </w:r>
      <w:r w:rsidR="009E4063">
        <w:rPr>
          <w:rFonts w:ascii="Arial" w:hAnsi="Arial" w:cs="Arial"/>
        </w:rPr>
        <w:t xml:space="preserve"> approaches to learning from patient safety incidents will be an essential part of this transition.</w:t>
      </w:r>
    </w:p>
    <w:p w14:paraId="236E03C1" w14:textId="77777777" w:rsidR="00E42FF0" w:rsidRDefault="00E42FF0" w:rsidP="0026049D">
      <w:pPr>
        <w:rPr>
          <w:rFonts w:ascii="Arial" w:hAnsi="Arial" w:cs="Arial"/>
          <w:b/>
          <w:bCs/>
        </w:rPr>
      </w:pPr>
    </w:p>
    <w:p w14:paraId="3525AF9E" w14:textId="640EB621" w:rsidR="00BD3150" w:rsidRPr="00E42FF0" w:rsidRDefault="00BD3150" w:rsidP="0026049D">
      <w:pPr>
        <w:rPr>
          <w:rFonts w:ascii="Arial" w:hAnsi="Arial" w:cs="Arial"/>
          <w:b/>
          <w:bCs/>
        </w:rPr>
      </w:pPr>
      <w:r w:rsidRPr="00E42FF0">
        <w:rPr>
          <w:rFonts w:ascii="Arial" w:hAnsi="Arial" w:cs="Arial"/>
          <w:b/>
          <w:bCs/>
        </w:rPr>
        <w:t xml:space="preserve">Table .1 PSIRF </w:t>
      </w:r>
      <w:r w:rsidR="00E42FF0">
        <w:rPr>
          <w:rFonts w:ascii="Arial" w:hAnsi="Arial" w:cs="Arial"/>
          <w:b/>
          <w:bCs/>
        </w:rPr>
        <w:t>t</w:t>
      </w:r>
      <w:r w:rsidRPr="00E42FF0">
        <w:rPr>
          <w:rFonts w:ascii="Arial" w:hAnsi="Arial" w:cs="Arial"/>
          <w:b/>
          <w:bCs/>
        </w:rPr>
        <w:t xml:space="preserve">raining </w:t>
      </w:r>
      <w:r w:rsidR="00E42FF0">
        <w:rPr>
          <w:rFonts w:ascii="Arial" w:hAnsi="Arial" w:cs="Arial"/>
          <w:b/>
          <w:bCs/>
        </w:rPr>
        <w:t>r</w:t>
      </w:r>
      <w:r w:rsidRPr="00E42FF0">
        <w:rPr>
          <w:rFonts w:ascii="Arial" w:hAnsi="Arial" w:cs="Arial"/>
          <w:b/>
          <w:bCs/>
        </w:rPr>
        <w:t>equirements</w:t>
      </w:r>
    </w:p>
    <w:tbl>
      <w:tblPr>
        <w:tblStyle w:val="GridTable4-Accent1"/>
        <w:tblW w:w="9402" w:type="dxa"/>
        <w:tblLayout w:type="fixed"/>
        <w:tblLook w:val="04A0" w:firstRow="1" w:lastRow="0" w:firstColumn="1" w:lastColumn="0" w:noHBand="0" w:noVBand="1"/>
      </w:tblPr>
      <w:tblGrid>
        <w:gridCol w:w="1413"/>
        <w:gridCol w:w="1099"/>
        <w:gridCol w:w="2445"/>
        <w:gridCol w:w="1481"/>
        <w:gridCol w:w="1482"/>
        <w:gridCol w:w="1482"/>
      </w:tblGrid>
      <w:tr w:rsidR="00BD3150" w:rsidRPr="00E42FF0" w14:paraId="37EBE190" w14:textId="77777777" w:rsidTr="00342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00B0F0"/>
          </w:tcPr>
          <w:p w14:paraId="256871D1" w14:textId="77777777" w:rsidR="00BD3150" w:rsidRPr="00E42FF0" w:rsidRDefault="00BD3150" w:rsidP="00CF5107">
            <w:pPr>
              <w:rPr>
                <w:rFonts w:ascii="Arial" w:hAnsi="Arial" w:cs="Arial"/>
                <w:color w:val="auto"/>
                <w:sz w:val="18"/>
                <w:szCs w:val="18"/>
              </w:rPr>
            </w:pPr>
            <w:bookmarkStart w:id="1" w:name="_Hlk148019805"/>
            <w:r w:rsidRPr="00E42FF0">
              <w:rPr>
                <w:rFonts w:ascii="Arial" w:hAnsi="Arial" w:cs="Arial"/>
                <w:color w:val="auto"/>
                <w:sz w:val="18"/>
                <w:szCs w:val="18"/>
              </w:rPr>
              <w:t xml:space="preserve">Topic </w:t>
            </w:r>
          </w:p>
        </w:tc>
        <w:tc>
          <w:tcPr>
            <w:tcW w:w="1099" w:type="dxa"/>
            <w:tcBorders>
              <w:top w:val="single" w:sz="4" w:space="0" w:color="auto"/>
              <w:left w:val="single" w:sz="4" w:space="0" w:color="auto"/>
              <w:bottom w:val="single" w:sz="4" w:space="0" w:color="auto"/>
              <w:right w:val="single" w:sz="4" w:space="0" w:color="auto"/>
            </w:tcBorders>
            <w:shd w:val="clear" w:color="auto" w:fill="00B0F0"/>
          </w:tcPr>
          <w:p w14:paraId="32E32B21" w14:textId="77777777" w:rsidR="00BD3150" w:rsidRPr="00E42FF0" w:rsidRDefault="00BD3150" w:rsidP="00CF510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42FF0">
              <w:rPr>
                <w:rFonts w:ascii="Arial" w:hAnsi="Arial" w:cs="Arial"/>
                <w:color w:val="auto"/>
                <w:sz w:val="18"/>
                <w:szCs w:val="18"/>
              </w:rPr>
              <w:t>Minimum Duration</w:t>
            </w:r>
          </w:p>
        </w:tc>
        <w:tc>
          <w:tcPr>
            <w:tcW w:w="2445" w:type="dxa"/>
            <w:tcBorders>
              <w:top w:val="single" w:sz="4" w:space="0" w:color="auto"/>
              <w:left w:val="single" w:sz="4" w:space="0" w:color="auto"/>
              <w:bottom w:val="single" w:sz="4" w:space="0" w:color="auto"/>
              <w:right w:val="single" w:sz="4" w:space="0" w:color="auto"/>
            </w:tcBorders>
            <w:shd w:val="clear" w:color="auto" w:fill="00B0F0"/>
          </w:tcPr>
          <w:p w14:paraId="4FFA6069" w14:textId="77777777" w:rsidR="00BD3150" w:rsidRPr="00E42FF0" w:rsidRDefault="00BD3150" w:rsidP="00CF510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42FF0">
              <w:rPr>
                <w:rFonts w:ascii="Arial" w:hAnsi="Arial" w:cs="Arial"/>
                <w:color w:val="auto"/>
                <w:sz w:val="18"/>
                <w:szCs w:val="18"/>
              </w:rPr>
              <w:t>Content</w:t>
            </w:r>
          </w:p>
        </w:tc>
        <w:tc>
          <w:tcPr>
            <w:tcW w:w="1481" w:type="dxa"/>
            <w:tcBorders>
              <w:top w:val="single" w:sz="4" w:space="0" w:color="auto"/>
              <w:left w:val="single" w:sz="4" w:space="0" w:color="auto"/>
              <w:bottom w:val="single" w:sz="4" w:space="0" w:color="auto"/>
              <w:right w:val="single" w:sz="4" w:space="0" w:color="auto"/>
            </w:tcBorders>
            <w:shd w:val="clear" w:color="auto" w:fill="00B0F0"/>
          </w:tcPr>
          <w:p w14:paraId="53518AAA" w14:textId="5DB0B59B" w:rsidR="00BD3150" w:rsidRPr="00E42FF0" w:rsidRDefault="00BD3150" w:rsidP="00CF510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42FF0">
              <w:rPr>
                <w:rFonts w:ascii="Arial" w:hAnsi="Arial" w:cs="Arial"/>
                <w:color w:val="auto"/>
                <w:sz w:val="18"/>
                <w:szCs w:val="18"/>
              </w:rPr>
              <w:t xml:space="preserve">Clinical department </w:t>
            </w:r>
            <w:r w:rsidR="00342601" w:rsidRPr="00E42FF0">
              <w:rPr>
                <w:rFonts w:ascii="Arial" w:hAnsi="Arial" w:cs="Arial"/>
                <w:color w:val="auto"/>
                <w:sz w:val="18"/>
                <w:szCs w:val="18"/>
              </w:rPr>
              <w:t>M</w:t>
            </w:r>
            <w:r w:rsidRPr="00E42FF0">
              <w:rPr>
                <w:rFonts w:ascii="Arial" w:hAnsi="Arial" w:cs="Arial"/>
                <w:color w:val="auto"/>
                <w:sz w:val="18"/>
                <w:szCs w:val="18"/>
              </w:rPr>
              <w:t xml:space="preserve">anagers, </w:t>
            </w:r>
            <w:r w:rsidR="00342601" w:rsidRPr="00E42FF0">
              <w:rPr>
                <w:rFonts w:ascii="Arial" w:hAnsi="Arial" w:cs="Arial"/>
                <w:color w:val="auto"/>
                <w:sz w:val="18"/>
                <w:szCs w:val="18"/>
              </w:rPr>
              <w:t>S</w:t>
            </w:r>
            <w:r w:rsidRPr="00E42FF0">
              <w:rPr>
                <w:rFonts w:ascii="Arial" w:hAnsi="Arial" w:cs="Arial"/>
                <w:color w:val="auto"/>
                <w:sz w:val="18"/>
                <w:szCs w:val="18"/>
              </w:rPr>
              <w:t xml:space="preserve">upervisors and </w:t>
            </w:r>
            <w:r w:rsidR="00342601" w:rsidRPr="00E42FF0">
              <w:rPr>
                <w:rFonts w:ascii="Arial" w:hAnsi="Arial" w:cs="Arial"/>
                <w:color w:val="auto"/>
                <w:sz w:val="18"/>
                <w:szCs w:val="18"/>
              </w:rPr>
              <w:t>T</w:t>
            </w:r>
            <w:r w:rsidRPr="00E42FF0">
              <w:rPr>
                <w:rFonts w:ascii="Arial" w:hAnsi="Arial" w:cs="Arial"/>
                <w:color w:val="auto"/>
                <w:sz w:val="18"/>
                <w:szCs w:val="18"/>
              </w:rPr>
              <w:t>eam leaders</w:t>
            </w:r>
          </w:p>
        </w:tc>
        <w:tc>
          <w:tcPr>
            <w:tcW w:w="1482" w:type="dxa"/>
            <w:tcBorders>
              <w:top w:val="single" w:sz="4" w:space="0" w:color="auto"/>
              <w:left w:val="single" w:sz="4" w:space="0" w:color="auto"/>
              <w:bottom w:val="single" w:sz="4" w:space="0" w:color="auto"/>
              <w:right w:val="single" w:sz="4" w:space="0" w:color="auto"/>
            </w:tcBorders>
            <w:shd w:val="clear" w:color="auto" w:fill="00B0F0"/>
          </w:tcPr>
          <w:p w14:paraId="7A417286" w14:textId="4BB8BC16" w:rsidR="00BD3150" w:rsidRPr="00E42FF0" w:rsidRDefault="00BD3150" w:rsidP="00CF510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42FF0">
              <w:rPr>
                <w:rFonts w:ascii="Arial" w:hAnsi="Arial" w:cs="Arial"/>
                <w:color w:val="auto"/>
                <w:sz w:val="18"/>
                <w:szCs w:val="18"/>
              </w:rPr>
              <w:t>Staff with specific patient safety roles (Matrons, governance leads)</w:t>
            </w:r>
          </w:p>
        </w:tc>
        <w:tc>
          <w:tcPr>
            <w:tcW w:w="1482" w:type="dxa"/>
            <w:tcBorders>
              <w:top w:val="single" w:sz="4" w:space="0" w:color="auto"/>
              <w:left w:val="single" w:sz="4" w:space="0" w:color="auto"/>
              <w:bottom w:val="single" w:sz="4" w:space="0" w:color="auto"/>
              <w:right w:val="single" w:sz="4" w:space="0" w:color="auto"/>
            </w:tcBorders>
            <w:shd w:val="clear" w:color="auto" w:fill="00B0F0"/>
          </w:tcPr>
          <w:p w14:paraId="3BD3658F" w14:textId="5D70FBD9" w:rsidR="00BD3150" w:rsidRPr="00E42FF0" w:rsidRDefault="00BD3150" w:rsidP="00CF510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42FF0">
              <w:rPr>
                <w:rFonts w:ascii="Arial" w:hAnsi="Arial" w:cs="Arial"/>
                <w:color w:val="auto"/>
                <w:sz w:val="18"/>
                <w:szCs w:val="18"/>
              </w:rPr>
              <w:t>P</w:t>
            </w:r>
            <w:r w:rsidR="00342601" w:rsidRPr="00E42FF0">
              <w:rPr>
                <w:rFonts w:ascii="Arial" w:hAnsi="Arial" w:cs="Arial"/>
                <w:color w:val="auto"/>
                <w:sz w:val="18"/>
                <w:szCs w:val="18"/>
              </w:rPr>
              <w:t>atient Safety Specialists, Trust Patient safety team and Board Representatives</w:t>
            </w:r>
          </w:p>
        </w:tc>
      </w:tr>
      <w:bookmarkEnd w:id="1"/>
      <w:tr w:rsidR="00342601" w:rsidRPr="00E42FF0" w14:paraId="035C6BE8" w14:textId="77777777" w:rsidTr="00342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7762563D" w14:textId="598FB810" w:rsidR="00BD3150" w:rsidRPr="00E42FF0" w:rsidRDefault="00342601" w:rsidP="00CF5107">
            <w:pPr>
              <w:rPr>
                <w:rFonts w:ascii="Arial" w:hAnsi="Arial" w:cs="Arial"/>
                <w:sz w:val="18"/>
                <w:szCs w:val="18"/>
              </w:rPr>
            </w:pPr>
            <w:r w:rsidRPr="00E42FF0">
              <w:rPr>
                <w:rFonts w:ascii="Arial" w:hAnsi="Arial" w:cs="Arial"/>
                <w:sz w:val="18"/>
                <w:szCs w:val="18"/>
              </w:rPr>
              <w:t xml:space="preserve">NHS </w:t>
            </w:r>
            <w:r w:rsidR="00BD3150" w:rsidRPr="00E42FF0">
              <w:rPr>
                <w:rFonts w:ascii="Arial" w:hAnsi="Arial" w:cs="Arial"/>
                <w:sz w:val="18"/>
                <w:szCs w:val="18"/>
              </w:rPr>
              <w:t>Patient safety syllabus level 1: Essentials for patient safety</w:t>
            </w:r>
          </w:p>
        </w:tc>
        <w:tc>
          <w:tcPr>
            <w:tcW w:w="1099" w:type="dxa"/>
            <w:shd w:val="clear" w:color="auto" w:fill="FFFFFF" w:themeFill="background1"/>
          </w:tcPr>
          <w:p w14:paraId="74FD395A" w14:textId="77777777" w:rsidR="00BD3150" w:rsidRPr="00E42FF0" w:rsidRDefault="00BD3150" w:rsidP="00CF510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e-learning</w:t>
            </w:r>
          </w:p>
          <w:p w14:paraId="129352EE" w14:textId="4E53B980" w:rsidR="00342601" w:rsidRPr="00E42FF0" w:rsidRDefault="00342601" w:rsidP="00CF510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20 mins</w:t>
            </w:r>
          </w:p>
        </w:tc>
        <w:tc>
          <w:tcPr>
            <w:tcW w:w="2445" w:type="dxa"/>
            <w:shd w:val="clear" w:color="auto" w:fill="FFFFFF" w:themeFill="background1"/>
          </w:tcPr>
          <w:p w14:paraId="38E1362C" w14:textId="77777777" w:rsidR="00BD3150" w:rsidRPr="00E42FF0" w:rsidRDefault="00BD3150" w:rsidP="00CF510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Listening to patients and raising concerns. The systems approach to safety: improving the way we work, rather than the performance of individual members of staff.</w:t>
            </w:r>
          </w:p>
          <w:p w14:paraId="32E81B4A" w14:textId="77777777" w:rsidR="00BD3150" w:rsidRPr="00E42FF0" w:rsidRDefault="00BD3150" w:rsidP="00CF510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Avoiding inappropriate blame when things don’t go well</w:t>
            </w:r>
          </w:p>
          <w:p w14:paraId="0D6BAF8A" w14:textId="77777777" w:rsidR="00BD3150" w:rsidRPr="00E42FF0" w:rsidRDefault="00BD3150" w:rsidP="00CF510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Creating a just culture that prioritises safety and is open to learning about risk and safety</w:t>
            </w:r>
          </w:p>
        </w:tc>
        <w:tc>
          <w:tcPr>
            <w:tcW w:w="1481" w:type="dxa"/>
            <w:shd w:val="clear" w:color="auto" w:fill="FFFFFF" w:themeFill="background1"/>
            <w:vAlign w:val="center"/>
          </w:tcPr>
          <w:p w14:paraId="773A09CF" w14:textId="77777777" w:rsidR="00BD3150" w:rsidRPr="00E42FF0" w:rsidRDefault="00BD3150" w:rsidP="00CF510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noProof/>
                <w:sz w:val="18"/>
                <w:szCs w:val="18"/>
                <w:lang w:eastAsia="en-GB"/>
              </w:rPr>
              <w:drawing>
                <wp:inline distT="0" distB="0" distL="0" distR="0" wp14:anchorId="5B768B74" wp14:editId="6DD0D3EE">
                  <wp:extent cx="237490" cy="23749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1482" w:type="dxa"/>
            <w:shd w:val="clear" w:color="auto" w:fill="FFFFFF" w:themeFill="background1"/>
            <w:vAlign w:val="center"/>
          </w:tcPr>
          <w:p w14:paraId="089751C0" w14:textId="77777777" w:rsidR="00BD3150" w:rsidRPr="00E42FF0" w:rsidRDefault="00BD3150" w:rsidP="00CF510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noProof/>
                <w:sz w:val="18"/>
                <w:szCs w:val="18"/>
                <w:lang w:eastAsia="en-GB"/>
              </w:rPr>
              <w:drawing>
                <wp:inline distT="0" distB="0" distL="0" distR="0" wp14:anchorId="7F5F35C9" wp14:editId="029F689E">
                  <wp:extent cx="237490" cy="23749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1482" w:type="dxa"/>
            <w:shd w:val="clear" w:color="auto" w:fill="FFFFFF" w:themeFill="background1"/>
            <w:vAlign w:val="center"/>
          </w:tcPr>
          <w:p w14:paraId="3027D67E" w14:textId="77777777" w:rsidR="00BD3150" w:rsidRPr="00E42FF0" w:rsidRDefault="00BD3150" w:rsidP="00CF510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noProof/>
                <w:sz w:val="18"/>
                <w:szCs w:val="18"/>
                <w:lang w:eastAsia="en-GB"/>
              </w:rPr>
              <w:drawing>
                <wp:inline distT="0" distB="0" distL="0" distR="0" wp14:anchorId="387D2DF8" wp14:editId="35596242">
                  <wp:extent cx="237490" cy="23749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r>
      <w:tr w:rsidR="00342601" w:rsidRPr="00E42FF0" w14:paraId="7CDDA347" w14:textId="77777777" w:rsidTr="00342601">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7498C3AA" w14:textId="77777777" w:rsidR="00BD3150" w:rsidRPr="00E42FF0" w:rsidRDefault="00342601" w:rsidP="00CF5107">
            <w:pPr>
              <w:rPr>
                <w:rFonts w:ascii="Arial" w:hAnsi="Arial" w:cs="Arial"/>
                <w:b w:val="0"/>
                <w:bCs w:val="0"/>
                <w:sz w:val="18"/>
                <w:szCs w:val="18"/>
              </w:rPr>
            </w:pPr>
            <w:r w:rsidRPr="00E42FF0">
              <w:rPr>
                <w:rFonts w:ascii="Arial" w:hAnsi="Arial" w:cs="Arial"/>
                <w:sz w:val="18"/>
                <w:szCs w:val="18"/>
              </w:rPr>
              <w:lastRenderedPageBreak/>
              <w:t xml:space="preserve">NHS </w:t>
            </w:r>
            <w:r w:rsidR="00BD3150" w:rsidRPr="00E42FF0">
              <w:rPr>
                <w:rFonts w:ascii="Arial" w:hAnsi="Arial" w:cs="Arial"/>
                <w:sz w:val="18"/>
                <w:szCs w:val="18"/>
              </w:rPr>
              <w:t>Patient safety syllabus level 2: Access to practice</w:t>
            </w:r>
          </w:p>
          <w:p w14:paraId="7CA85A87" w14:textId="77777777" w:rsidR="00584450" w:rsidRPr="00E42FF0" w:rsidRDefault="00584450" w:rsidP="00CF5107">
            <w:pPr>
              <w:rPr>
                <w:rFonts w:ascii="Arial" w:hAnsi="Arial" w:cs="Arial"/>
                <w:b w:val="0"/>
                <w:bCs w:val="0"/>
                <w:sz w:val="18"/>
                <w:szCs w:val="18"/>
              </w:rPr>
            </w:pPr>
          </w:p>
          <w:p w14:paraId="0BA44561" w14:textId="6482F00B" w:rsidR="00584450" w:rsidRPr="00E42FF0" w:rsidRDefault="00584450" w:rsidP="00CF5107">
            <w:pPr>
              <w:rPr>
                <w:rFonts w:ascii="Arial" w:hAnsi="Arial" w:cs="Arial"/>
                <w:sz w:val="18"/>
                <w:szCs w:val="18"/>
              </w:rPr>
            </w:pPr>
          </w:p>
        </w:tc>
        <w:tc>
          <w:tcPr>
            <w:tcW w:w="1099" w:type="dxa"/>
            <w:shd w:val="clear" w:color="auto" w:fill="FFFFFF" w:themeFill="background1"/>
          </w:tcPr>
          <w:p w14:paraId="0B60D9C0" w14:textId="77777777" w:rsidR="00BD3150" w:rsidRPr="00E42FF0" w:rsidRDefault="00BD3150" w:rsidP="00CF510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2FF0">
              <w:rPr>
                <w:rFonts w:ascii="Arial" w:hAnsi="Arial" w:cs="Arial"/>
                <w:sz w:val="18"/>
                <w:szCs w:val="18"/>
              </w:rPr>
              <w:t>e-learning</w:t>
            </w:r>
          </w:p>
          <w:p w14:paraId="38064027" w14:textId="6B972B60" w:rsidR="00342601" w:rsidRPr="00E42FF0" w:rsidRDefault="00822551" w:rsidP="00CF510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2FF0">
              <w:rPr>
                <w:rFonts w:ascii="Arial" w:hAnsi="Arial" w:cs="Arial"/>
                <w:sz w:val="18"/>
                <w:szCs w:val="18"/>
              </w:rPr>
              <w:t>40</w:t>
            </w:r>
            <w:r w:rsidR="00342601" w:rsidRPr="00E42FF0">
              <w:rPr>
                <w:rFonts w:ascii="Arial" w:hAnsi="Arial" w:cs="Arial"/>
                <w:sz w:val="18"/>
                <w:szCs w:val="18"/>
              </w:rPr>
              <w:t xml:space="preserve"> mins</w:t>
            </w:r>
          </w:p>
        </w:tc>
        <w:tc>
          <w:tcPr>
            <w:tcW w:w="2445" w:type="dxa"/>
            <w:shd w:val="clear" w:color="auto" w:fill="FFFFFF" w:themeFill="background1"/>
          </w:tcPr>
          <w:p w14:paraId="62D7EE8F" w14:textId="77777777" w:rsidR="00BD3150" w:rsidRPr="00E42FF0" w:rsidRDefault="00BD3150" w:rsidP="00CF510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2FF0">
              <w:rPr>
                <w:rFonts w:ascii="Arial" w:hAnsi="Arial" w:cs="Arial"/>
                <w:sz w:val="18"/>
                <w:szCs w:val="18"/>
              </w:rPr>
              <w:t>Introduction to systems thinking and risk expertise</w:t>
            </w:r>
          </w:p>
          <w:p w14:paraId="2006078F" w14:textId="77777777" w:rsidR="00822551" w:rsidRPr="00E42FF0" w:rsidRDefault="00822551" w:rsidP="008225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2FF0">
              <w:rPr>
                <w:rFonts w:ascii="Arial" w:hAnsi="Arial" w:cs="Arial"/>
                <w:sz w:val="18"/>
                <w:szCs w:val="18"/>
              </w:rPr>
              <w:t>Human factors</w:t>
            </w:r>
          </w:p>
          <w:p w14:paraId="454C6D33" w14:textId="225CBE1C" w:rsidR="00822551" w:rsidRPr="00E42FF0" w:rsidRDefault="00822551" w:rsidP="008225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2FF0">
              <w:rPr>
                <w:rFonts w:ascii="Arial" w:hAnsi="Arial" w:cs="Arial"/>
                <w:sz w:val="18"/>
                <w:szCs w:val="18"/>
              </w:rPr>
              <w:t>Safety culture</w:t>
            </w:r>
          </w:p>
          <w:p w14:paraId="27E4037A" w14:textId="0B556A5D" w:rsidR="00BD3150" w:rsidRPr="00E42FF0" w:rsidRDefault="00BD3150" w:rsidP="00CF510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81" w:type="dxa"/>
            <w:shd w:val="clear" w:color="auto" w:fill="FFFFFF" w:themeFill="background1"/>
            <w:vAlign w:val="center"/>
          </w:tcPr>
          <w:p w14:paraId="71661C4F" w14:textId="77777777" w:rsidR="00BD3150" w:rsidRPr="00E42FF0" w:rsidRDefault="00BD3150" w:rsidP="00CF51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2FF0">
              <w:rPr>
                <w:rFonts w:ascii="Arial" w:hAnsi="Arial" w:cs="Arial"/>
                <w:noProof/>
                <w:sz w:val="18"/>
                <w:szCs w:val="18"/>
                <w:lang w:eastAsia="en-GB"/>
              </w:rPr>
              <w:drawing>
                <wp:inline distT="0" distB="0" distL="0" distR="0" wp14:anchorId="411B3C51" wp14:editId="4CE5CE0F">
                  <wp:extent cx="237490" cy="23749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1482" w:type="dxa"/>
            <w:shd w:val="clear" w:color="auto" w:fill="FFFFFF" w:themeFill="background1"/>
            <w:vAlign w:val="center"/>
          </w:tcPr>
          <w:p w14:paraId="7558FD5B" w14:textId="77777777" w:rsidR="00BD3150" w:rsidRPr="00E42FF0" w:rsidRDefault="00BD3150" w:rsidP="00CF51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2FF0">
              <w:rPr>
                <w:rFonts w:ascii="Arial" w:hAnsi="Arial" w:cs="Arial"/>
                <w:noProof/>
                <w:sz w:val="18"/>
                <w:szCs w:val="18"/>
                <w:lang w:eastAsia="en-GB"/>
              </w:rPr>
              <w:drawing>
                <wp:inline distT="0" distB="0" distL="0" distR="0" wp14:anchorId="271EFF1A" wp14:editId="6B2D4044">
                  <wp:extent cx="237490" cy="23749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1482" w:type="dxa"/>
            <w:shd w:val="clear" w:color="auto" w:fill="FFFFFF" w:themeFill="background1"/>
            <w:vAlign w:val="center"/>
          </w:tcPr>
          <w:p w14:paraId="71FC733B" w14:textId="77777777" w:rsidR="00BD3150" w:rsidRPr="00E42FF0" w:rsidRDefault="00BD3150" w:rsidP="00CF510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2FF0">
              <w:rPr>
                <w:rFonts w:ascii="Arial" w:hAnsi="Arial" w:cs="Arial"/>
                <w:noProof/>
                <w:sz w:val="18"/>
                <w:szCs w:val="18"/>
                <w:lang w:eastAsia="en-GB"/>
              </w:rPr>
              <w:drawing>
                <wp:inline distT="0" distB="0" distL="0" distR="0" wp14:anchorId="420756E8" wp14:editId="2E9DD2D5">
                  <wp:extent cx="237490" cy="23749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r>
      <w:tr w:rsidR="00342601" w:rsidRPr="00E42FF0" w14:paraId="200EDC0A" w14:textId="77777777" w:rsidTr="00342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25BB1DFE" w14:textId="77777777" w:rsidR="00342601" w:rsidRPr="00E42FF0" w:rsidRDefault="00342601" w:rsidP="00342601">
            <w:pPr>
              <w:rPr>
                <w:rFonts w:ascii="Arial" w:hAnsi="Arial" w:cs="Arial"/>
                <w:sz w:val="18"/>
                <w:szCs w:val="18"/>
              </w:rPr>
            </w:pPr>
            <w:r w:rsidRPr="00E42FF0">
              <w:rPr>
                <w:rFonts w:ascii="Arial" w:hAnsi="Arial" w:cs="Arial"/>
                <w:sz w:val="18"/>
                <w:szCs w:val="18"/>
              </w:rPr>
              <w:t xml:space="preserve">Incident investigation training </w:t>
            </w:r>
          </w:p>
          <w:p w14:paraId="66F4FCF0" w14:textId="167A543F" w:rsidR="00342601" w:rsidRPr="00E42FF0" w:rsidRDefault="00342601" w:rsidP="00342601">
            <w:pPr>
              <w:rPr>
                <w:rFonts w:ascii="Arial" w:hAnsi="Arial" w:cs="Arial"/>
                <w:sz w:val="20"/>
                <w:szCs w:val="20"/>
              </w:rPr>
            </w:pPr>
            <w:r w:rsidRPr="00E42FF0">
              <w:rPr>
                <w:rFonts w:ascii="Arial" w:hAnsi="Arial" w:cs="Arial"/>
                <w:sz w:val="18"/>
                <w:szCs w:val="18"/>
              </w:rPr>
              <w:t>(HSIB level 2 equivalent)</w:t>
            </w:r>
          </w:p>
        </w:tc>
        <w:tc>
          <w:tcPr>
            <w:tcW w:w="1099" w:type="dxa"/>
            <w:shd w:val="clear" w:color="auto" w:fill="FFFFFF" w:themeFill="background1"/>
          </w:tcPr>
          <w:p w14:paraId="5F986BB6" w14:textId="2D804825" w:rsidR="00342601" w:rsidRPr="00E42FF0" w:rsidRDefault="00342601" w:rsidP="00CF510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1 day plus 1 day workshop</w:t>
            </w:r>
          </w:p>
        </w:tc>
        <w:tc>
          <w:tcPr>
            <w:tcW w:w="2445" w:type="dxa"/>
            <w:shd w:val="clear" w:color="auto" w:fill="FFFFFF" w:themeFill="background1"/>
          </w:tcPr>
          <w:p w14:paraId="1E3A0B40" w14:textId="77777777" w:rsidR="00342601" w:rsidRPr="00E42FF0" w:rsidRDefault="00CE465F" w:rsidP="0034260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Human factors and ergonomics</w:t>
            </w:r>
          </w:p>
          <w:p w14:paraId="6F982D18" w14:textId="77777777" w:rsidR="00CE465F" w:rsidRPr="00E42FF0" w:rsidRDefault="00CE465F" w:rsidP="0034260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Safety culture</w:t>
            </w:r>
          </w:p>
          <w:p w14:paraId="2543AB43" w14:textId="77777777" w:rsidR="00CE465F" w:rsidRPr="00E42FF0" w:rsidRDefault="00CE465F" w:rsidP="0034260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Learning from incidents</w:t>
            </w:r>
          </w:p>
          <w:p w14:paraId="6F6F9EEF" w14:textId="77777777" w:rsidR="00CE465F" w:rsidRPr="00E42FF0" w:rsidRDefault="00CE465F" w:rsidP="0034260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Proxys work as done</w:t>
            </w:r>
          </w:p>
          <w:p w14:paraId="3C91913E" w14:textId="77777777" w:rsidR="00CE465F" w:rsidRPr="00E42FF0" w:rsidRDefault="00CE465F" w:rsidP="0034260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Local rationality</w:t>
            </w:r>
          </w:p>
          <w:p w14:paraId="6EA379C4" w14:textId="77777777" w:rsidR="00CE465F" w:rsidRPr="00E42FF0" w:rsidRDefault="00CE465F" w:rsidP="0034260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Adaptions and work arounds</w:t>
            </w:r>
          </w:p>
          <w:p w14:paraId="37670E0B" w14:textId="77777777" w:rsidR="00CE465F" w:rsidRPr="00E42FF0" w:rsidRDefault="00CE465F" w:rsidP="0034260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Organisational drift</w:t>
            </w:r>
          </w:p>
          <w:p w14:paraId="665B9312" w14:textId="77777777" w:rsidR="00CE465F" w:rsidRPr="00E42FF0" w:rsidRDefault="00CE465F" w:rsidP="0034260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Presenting evidence</w:t>
            </w:r>
          </w:p>
          <w:p w14:paraId="75690DDD" w14:textId="45F8DBFD" w:rsidR="00CE465F" w:rsidRPr="00E42FF0" w:rsidRDefault="00CE465F" w:rsidP="0034260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2FF0">
              <w:rPr>
                <w:rFonts w:ascii="Arial" w:hAnsi="Arial" w:cs="Arial"/>
                <w:sz w:val="18"/>
                <w:szCs w:val="18"/>
              </w:rPr>
              <w:t>Action planning and improvement.</w:t>
            </w:r>
          </w:p>
        </w:tc>
        <w:tc>
          <w:tcPr>
            <w:tcW w:w="1481" w:type="dxa"/>
            <w:shd w:val="clear" w:color="auto" w:fill="FFFFFF" w:themeFill="background1"/>
            <w:vAlign w:val="center"/>
          </w:tcPr>
          <w:p w14:paraId="5A45D4F0" w14:textId="77777777" w:rsidR="00342601" w:rsidRPr="00E42FF0" w:rsidRDefault="00342601" w:rsidP="00CF5107">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rPr>
            </w:pPr>
          </w:p>
        </w:tc>
        <w:tc>
          <w:tcPr>
            <w:tcW w:w="1482" w:type="dxa"/>
            <w:shd w:val="clear" w:color="auto" w:fill="FFFFFF" w:themeFill="background1"/>
            <w:vAlign w:val="center"/>
          </w:tcPr>
          <w:p w14:paraId="4406EC8E" w14:textId="7E23426C" w:rsidR="00342601" w:rsidRPr="00E42FF0" w:rsidRDefault="00342601" w:rsidP="00CF5107">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rPr>
            </w:pPr>
            <w:r w:rsidRPr="00E42FF0">
              <w:rPr>
                <w:rFonts w:ascii="Arial" w:hAnsi="Arial" w:cs="Arial"/>
                <w:noProof/>
                <w:sz w:val="18"/>
                <w:szCs w:val="18"/>
                <w:lang w:eastAsia="en-GB"/>
              </w:rPr>
              <w:drawing>
                <wp:inline distT="0" distB="0" distL="0" distR="0" wp14:anchorId="29B825D8" wp14:editId="189085A5">
                  <wp:extent cx="237490" cy="237490"/>
                  <wp:effectExtent l="0" t="0" r="0" b="0"/>
                  <wp:docPr id="1905136940" name="Picture 190513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1482" w:type="dxa"/>
            <w:shd w:val="clear" w:color="auto" w:fill="FFFFFF" w:themeFill="background1"/>
            <w:vAlign w:val="center"/>
          </w:tcPr>
          <w:p w14:paraId="58ADD69B" w14:textId="2599C2A6" w:rsidR="00342601" w:rsidRPr="00E42FF0" w:rsidRDefault="00342601" w:rsidP="00CF5107">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rPr>
            </w:pPr>
            <w:r w:rsidRPr="00E42FF0">
              <w:rPr>
                <w:rFonts w:ascii="Arial" w:hAnsi="Arial" w:cs="Arial"/>
                <w:noProof/>
                <w:sz w:val="18"/>
                <w:szCs w:val="18"/>
                <w:lang w:eastAsia="en-GB"/>
              </w:rPr>
              <w:drawing>
                <wp:inline distT="0" distB="0" distL="0" distR="0" wp14:anchorId="16CD2263" wp14:editId="56ACFFC3">
                  <wp:extent cx="237490" cy="237490"/>
                  <wp:effectExtent l="0" t="0" r="0" b="0"/>
                  <wp:docPr id="1739518823" name="Picture 1739518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r>
    </w:tbl>
    <w:p w14:paraId="14B437C6" w14:textId="77777777" w:rsidR="00BD3150" w:rsidRPr="00E42FF0" w:rsidRDefault="00BD3150" w:rsidP="0026049D">
      <w:pPr>
        <w:rPr>
          <w:rFonts w:ascii="Arial" w:hAnsi="Arial" w:cs="Arial"/>
        </w:rPr>
      </w:pPr>
    </w:p>
    <w:p w14:paraId="24EDBA58" w14:textId="77777777" w:rsidR="00BD3150" w:rsidRPr="00E42FF0" w:rsidRDefault="00BD3150" w:rsidP="0026049D">
      <w:pPr>
        <w:rPr>
          <w:rFonts w:ascii="Arial" w:hAnsi="Arial" w:cs="Arial"/>
        </w:rPr>
      </w:pPr>
    </w:p>
    <w:p w14:paraId="0F8B8AD6" w14:textId="0C8DB5DE" w:rsidR="00FF54ED" w:rsidRDefault="00FF54ED" w:rsidP="002D5FC9">
      <w:pPr>
        <w:rPr>
          <w:b/>
          <w:bCs/>
          <w14:ligatures w14:val="none"/>
        </w:rPr>
      </w:pPr>
    </w:p>
    <w:sectPr w:rsidR="00FF54ED" w:rsidSect="00E42FF0">
      <w:headerReference w:type="default" r:id="rId20"/>
      <w:footerReference w:type="default" r:id="rId2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4AC5" w14:textId="77777777" w:rsidR="000A2E36" w:rsidRDefault="000A2E36" w:rsidP="00C25660">
      <w:pPr>
        <w:spacing w:after="0" w:line="240" w:lineRule="auto"/>
      </w:pPr>
      <w:r>
        <w:separator/>
      </w:r>
    </w:p>
  </w:endnote>
  <w:endnote w:type="continuationSeparator" w:id="0">
    <w:p w14:paraId="7BECC634" w14:textId="77777777" w:rsidR="000A2E36" w:rsidRDefault="000A2E36" w:rsidP="00C2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62"/>
      <w:gridCol w:w="4064"/>
    </w:tblGrid>
    <w:tr w:rsidR="002307D0" w14:paraId="67B8F93F" w14:textId="77777777" w:rsidTr="000770CF">
      <w:trPr>
        <w:trHeight w:hRule="exact" w:val="115"/>
        <w:jc w:val="center"/>
      </w:trPr>
      <w:tc>
        <w:tcPr>
          <w:tcW w:w="4962" w:type="dxa"/>
          <w:shd w:val="clear" w:color="auto" w:fill="4472C4" w:themeFill="accent1"/>
          <w:tcMar>
            <w:top w:w="0" w:type="dxa"/>
            <w:bottom w:w="0" w:type="dxa"/>
          </w:tcMar>
        </w:tcPr>
        <w:p w14:paraId="499153A0" w14:textId="77777777" w:rsidR="002307D0" w:rsidRDefault="002307D0">
          <w:pPr>
            <w:pStyle w:val="Header"/>
            <w:rPr>
              <w:caps/>
              <w:sz w:val="18"/>
            </w:rPr>
          </w:pPr>
        </w:p>
      </w:tc>
      <w:tc>
        <w:tcPr>
          <w:tcW w:w="4064" w:type="dxa"/>
          <w:shd w:val="clear" w:color="auto" w:fill="4472C4" w:themeFill="accent1"/>
          <w:tcMar>
            <w:top w:w="0" w:type="dxa"/>
            <w:bottom w:w="0" w:type="dxa"/>
          </w:tcMar>
        </w:tcPr>
        <w:p w14:paraId="6741F09F" w14:textId="77777777" w:rsidR="002307D0" w:rsidRDefault="002307D0">
          <w:pPr>
            <w:pStyle w:val="Header"/>
            <w:jc w:val="right"/>
            <w:rPr>
              <w:caps/>
              <w:sz w:val="18"/>
            </w:rPr>
          </w:pPr>
        </w:p>
      </w:tc>
    </w:tr>
    <w:tr w:rsidR="002307D0" w14:paraId="68D77A6D" w14:textId="77777777" w:rsidTr="000770CF">
      <w:trPr>
        <w:jc w:val="center"/>
      </w:trPr>
      <w:sdt>
        <w:sdtPr>
          <w:rPr>
            <w:caps/>
            <w:sz w:val="18"/>
            <w:szCs w:val="18"/>
          </w:rPr>
          <w:alias w:val="Author"/>
          <w:tag w:val=""/>
          <w:id w:val="1534151868"/>
          <w:placeholder>
            <w:docPart w:val="A871B7FD266E425388ADD8FB78625F5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962" w:type="dxa"/>
              <w:shd w:val="clear" w:color="auto" w:fill="auto"/>
              <w:vAlign w:val="center"/>
            </w:tcPr>
            <w:p w14:paraId="3E3EDEE5" w14:textId="5B18D71B" w:rsidR="002307D0" w:rsidRDefault="002307D0">
              <w:pPr>
                <w:pStyle w:val="Footer"/>
                <w:rPr>
                  <w:caps/>
                  <w:color w:val="808080" w:themeColor="background1" w:themeShade="80"/>
                  <w:sz w:val="18"/>
                  <w:szCs w:val="18"/>
                </w:rPr>
              </w:pPr>
              <w:r w:rsidRPr="002307D0">
                <w:rPr>
                  <w:caps/>
                  <w:sz w:val="18"/>
                  <w:szCs w:val="18"/>
                </w:rPr>
                <w:t>patient Safety incident response plan</w:t>
              </w:r>
              <w:r w:rsidR="000770CF">
                <w:rPr>
                  <w:caps/>
                  <w:sz w:val="18"/>
                  <w:szCs w:val="18"/>
                </w:rPr>
                <w:t xml:space="preserve"> – October 2023</w:t>
              </w:r>
              <w:r w:rsidR="00BE3EC8">
                <w:rPr>
                  <w:caps/>
                  <w:sz w:val="18"/>
                  <w:szCs w:val="18"/>
                </w:rPr>
                <w:t>V2</w:t>
              </w:r>
            </w:p>
          </w:tc>
        </w:sdtContent>
      </w:sdt>
      <w:tc>
        <w:tcPr>
          <w:tcW w:w="4064" w:type="dxa"/>
          <w:shd w:val="clear" w:color="auto" w:fill="auto"/>
          <w:vAlign w:val="center"/>
        </w:tcPr>
        <w:p w14:paraId="0CF9DE72" w14:textId="7F06F139" w:rsidR="002307D0" w:rsidRDefault="002307D0">
          <w:pPr>
            <w:pStyle w:val="Footer"/>
            <w:jc w:val="right"/>
            <w:rPr>
              <w:caps/>
              <w:color w:val="808080" w:themeColor="background1" w:themeShade="80"/>
              <w:sz w:val="18"/>
              <w:szCs w:val="18"/>
            </w:rPr>
          </w:pPr>
          <w:r w:rsidRPr="002307D0">
            <w:rPr>
              <w:caps/>
              <w:sz w:val="18"/>
              <w:szCs w:val="18"/>
            </w:rPr>
            <w:fldChar w:fldCharType="begin"/>
          </w:r>
          <w:r w:rsidRPr="002307D0">
            <w:rPr>
              <w:caps/>
              <w:sz w:val="18"/>
              <w:szCs w:val="18"/>
            </w:rPr>
            <w:instrText xml:space="preserve"> PAGE   \* MERGEFORMAT </w:instrText>
          </w:r>
          <w:r w:rsidRPr="002307D0">
            <w:rPr>
              <w:caps/>
              <w:sz w:val="18"/>
              <w:szCs w:val="18"/>
            </w:rPr>
            <w:fldChar w:fldCharType="separate"/>
          </w:r>
          <w:r w:rsidR="00D75FEF">
            <w:rPr>
              <w:caps/>
              <w:noProof/>
              <w:sz w:val="18"/>
              <w:szCs w:val="18"/>
            </w:rPr>
            <w:t>18</w:t>
          </w:r>
          <w:r w:rsidRPr="002307D0">
            <w:rPr>
              <w:caps/>
              <w:noProof/>
              <w:sz w:val="18"/>
              <w:szCs w:val="18"/>
            </w:rPr>
            <w:fldChar w:fldCharType="end"/>
          </w:r>
        </w:p>
      </w:tc>
    </w:tr>
  </w:tbl>
  <w:p w14:paraId="519F84CE" w14:textId="77777777" w:rsidR="00C25660" w:rsidRDefault="00C2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839D6" w14:textId="77777777" w:rsidR="000A2E36" w:rsidRDefault="000A2E36" w:rsidP="00C25660">
      <w:pPr>
        <w:spacing w:after="0" w:line="240" w:lineRule="auto"/>
      </w:pPr>
      <w:r>
        <w:separator/>
      </w:r>
    </w:p>
  </w:footnote>
  <w:footnote w:type="continuationSeparator" w:id="0">
    <w:p w14:paraId="76BF5958" w14:textId="77777777" w:rsidR="000A2E36" w:rsidRDefault="000A2E36" w:rsidP="00C25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BBF0" w14:textId="2A5CBB9A" w:rsidR="00C25660" w:rsidRDefault="00C25660">
    <w:pPr>
      <w:pStyle w:val="Header"/>
      <w:pBdr>
        <w:bottom w:val="single" w:sz="4" w:space="8" w:color="4472C4" w:themeColor="accent1"/>
      </w:pBdr>
      <w:spacing w:after="360"/>
      <w:contextualSpacing/>
      <w:jc w:val="right"/>
      <w:rPr>
        <w:color w:val="404040" w:themeColor="text1" w:themeTint="BF"/>
      </w:rPr>
    </w:pPr>
    <w:r w:rsidRPr="00C25660">
      <w:rPr>
        <w:noProof/>
        <w:lang w:eastAsia="en-GB"/>
      </w:rPr>
      <w:drawing>
        <wp:inline distT="0" distB="0" distL="0" distR="0" wp14:anchorId="5045B6DC" wp14:editId="4B7DB9A9">
          <wp:extent cx="2425943" cy="500993"/>
          <wp:effectExtent l="0" t="0" r="0" b="0"/>
          <wp:docPr id="1419987717" name="Picture 1419987717"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59887" name="Picture 1" descr="A close up of a word&#10;&#10;Description automatically generated"/>
                  <pic:cNvPicPr/>
                </pic:nvPicPr>
                <pic:blipFill>
                  <a:blip r:embed="rId1"/>
                  <a:stretch>
                    <a:fillRect/>
                  </a:stretch>
                </pic:blipFill>
                <pic:spPr>
                  <a:xfrm>
                    <a:off x="0" y="0"/>
                    <a:ext cx="2425943" cy="500993"/>
                  </a:xfrm>
                  <a:prstGeom prst="rect">
                    <a:avLst/>
                  </a:prstGeom>
                </pic:spPr>
              </pic:pic>
            </a:graphicData>
          </a:graphic>
        </wp:inline>
      </w:drawing>
    </w:r>
  </w:p>
  <w:p w14:paraId="564883F1" w14:textId="77777777" w:rsidR="00C25660" w:rsidRDefault="00C2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9F0"/>
    <w:multiLevelType w:val="hybridMultilevel"/>
    <w:tmpl w:val="94C02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FA3BC5"/>
    <w:multiLevelType w:val="hybridMultilevel"/>
    <w:tmpl w:val="7CA2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666CC"/>
    <w:multiLevelType w:val="hybridMultilevel"/>
    <w:tmpl w:val="D87E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35BB4"/>
    <w:multiLevelType w:val="hybridMultilevel"/>
    <w:tmpl w:val="4296E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C63399"/>
    <w:multiLevelType w:val="hybridMultilevel"/>
    <w:tmpl w:val="EEC4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67B38"/>
    <w:multiLevelType w:val="hybridMultilevel"/>
    <w:tmpl w:val="C0728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875AD7"/>
    <w:multiLevelType w:val="hybridMultilevel"/>
    <w:tmpl w:val="67CC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B5C77"/>
    <w:multiLevelType w:val="hybridMultilevel"/>
    <w:tmpl w:val="847AD4B4"/>
    <w:lvl w:ilvl="0" w:tplc="0809000F">
      <w:start w:val="2"/>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443A6"/>
    <w:multiLevelType w:val="hybridMultilevel"/>
    <w:tmpl w:val="939C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E6057"/>
    <w:multiLevelType w:val="multilevel"/>
    <w:tmpl w:val="7E0AED32"/>
    <w:lvl w:ilvl="0">
      <w:start w:val="1"/>
      <w:numFmt w:val="decimal"/>
      <w:lvlText w:val="%1"/>
      <w:lvlJc w:val="left"/>
      <w:pPr>
        <w:ind w:left="966" w:hanging="567"/>
        <w:jc w:val="right"/>
      </w:pPr>
      <w:rPr>
        <w:rFonts w:ascii="Arial" w:eastAsia="Arial" w:hAnsi="Arial" w:cs="Arial" w:hint="default"/>
        <w:b/>
        <w:bCs/>
        <w:w w:val="100"/>
        <w:sz w:val="28"/>
        <w:szCs w:val="28"/>
        <w:lang w:val="en-US" w:eastAsia="en-US" w:bidi="ar-SA"/>
      </w:rPr>
    </w:lvl>
    <w:lvl w:ilvl="1">
      <w:start w:val="1"/>
      <w:numFmt w:val="decimal"/>
      <w:lvlText w:val="%1.%2"/>
      <w:lvlJc w:val="left"/>
      <w:pPr>
        <w:ind w:left="976" w:hanging="577"/>
      </w:pPr>
      <w:rPr>
        <w:rFonts w:ascii="Arial" w:eastAsia="Arial" w:hAnsi="Arial" w:cs="Arial" w:hint="default"/>
        <w:b/>
        <w:bCs/>
        <w:w w:val="99"/>
        <w:sz w:val="24"/>
        <w:szCs w:val="24"/>
        <w:lang w:val="en-US" w:eastAsia="en-US" w:bidi="ar-SA"/>
      </w:rPr>
    </w:lvl>
    <w:lvl w:ilvl="2">
      <w:numFmt w:val="bullet"/>
      <w:lvlText w:val=""/>
      <w:lvlJc w:val="left"/>
      <w:pPr>
        <w:ind w:left="1041" w:hanging="359"/>
      </w:pPr>
      <w:rPr>
        <w:rFonts w:ascii="Wingdings" w:eastAsia="Wingdings" w:hAnsi="Wingdings" w:cs="Wingdings" w:hint="default"/>
        <w:w w:val="100"/>
        <w:sz w:val="24"/>
        <w:szCs w:val="24"/>
        <w:lang w:val="en-US" w:eastAsia="en-US" w:bidi="ar-SA"/>
      </w:rPr>
    </w:lvl>
    <w:lvl w:ilvl="3">
      <w:numFmt w:val="bullet"/>
      <w:lvlText w:val="•"/>
      <w:lvlJc w:val="left"/>
      <w:pPr>
        <w:ind w:left="1040" w:hanging="359"/>
      </w:pPr>
      <w:rPr>
        <w:rFonts w:hint="default"/>
        <w:lang w:val="en-US" w:eastAsia="en-US" w:bidi="ar-SA"/>
      </w:rPr>
    </w:lvl>
    <w:lvl w:ilvl="4">
      <w:numFmt w:val="bullet"/>
      <w:lvlText w:val="•"/>
      <w:lvlJc w:val="left"/>
      <w:pPr>
        <w:ind w:left="2318" w:hanging="359"/>
      </w:pPr>
      <w:rPr>
        <w:rFonts w:hint="default"/>
        <w:lang w:val="en-US" w:eastAsia="en-US" w:bidi="ar-SA"/>
      </w:rPr>
    </w:lvl>
    <w:lvl w:ilvl="5">
      <w:numFmt w:val="bullet"/>
      <w:lvlText w:val="•"/>
      <w:lvlJc w:val="left"/>
      <w:pPr>
        <w:ind w:left="3596" w:hanging="359"/>
      </w:pPr>
      <w:rPr>
        <w:rFonts w:hint="default"/>
        <w:lang w:val="en-US" w:eastAsia="en-US" w:bidi="ar-SA"/>
      </w:rPr>
    </w:lvl>
    <w:lvl w:ilvl="6">
      <w:numFmt w:val="bullet"/>
      <w:lvlText w:val="•"/>
      <w:lvlJc w:val="left"/>
      <w:pPr>
        <w:ind w:left="4874" w:hanging="359"/>
      </w:pPr>
      <w:rPr>
        <w:rFonts w:hint="default"/>
        <w:lang w:val="en-US" w:eastAsia="en-US" w:bidi="ar-SA"/>
      </w:rPr>
    </w:lvl>
    <w:lvl w:ilvl="7">
      <w:numFmt w:val="bullet"/>
      <w:lvlText w:val="•"/>
      <w:lvlJc w:val="left"/>
      <w:pPr>
        <w:ind w:left="6152" w:hanging="359"/>
      </w:pPr>
      <w:rPr>
        <w:rFonts w:hint="default"/>
        <w:lang w:val="en-US" w:eastAsia="en-US" w:bidi="ar-SA"/>
      </w:rPr>
    </w:lvl>
    <w:lvl w:ilvl="8">
      <w:numFmt w:val="bullet"/>
      <w:lvlText w:val="•"/>
      <w:lvlJc w:val="left"/>
      <w:pPr>
        <w:ind w:left="7430" w:hanging="359"/>
      </w:pPr>
      <w:rPr>
        <w:rFonts w:hint="default"/>
        <w:lang w:val="en-US" w:eastAsia="en-US" w:bidi="ar-SA"/>
      </w:rPr>
    </w:lvl>
  </w:abstractNum>
  <w:abstractNum w:abstractNumId="10" w15:restartNumberingAfterBreak="0">
    <w:nsid w:val="45824C4B"/>
    <w:multiLevelType w:val="hybridMultilevel"/>
    <w:tmpl w:val="A30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02977"/>
    <w:multiLevelType w:val="hybridMultilevel"/>
    <w:tmpl w:val="E8BC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A6384"/>
    <w:multiLevelType w:val="hybridMultilevel"/>
    <w:tmpl w:val="3FAE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3389E"/>
    <w:multiLevelType w:val="hybridMultilevel"/>
    <w:tmpl w:val="885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87E9D"/>
    <w:multiLevelType w:val="hybridMultilevel"/>
    <w:tmpl w:val="38FED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147F4E"/>
    <w:multiLevelType w:val="hybridMultilevel"/>
    <w:tmpl w:val="D90A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04969"/>
    <w:multiLevelType w:val="hybridMultilevel"/>
    <w:tmpl w:val="E7A0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2C2797"/>
    <w:multiLevelType w:val="hybridMultilevel"/>
    <w:tmpl w:val="251A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2806">
    <w:abstractNumId w:val="1"/>
  </w:num>
  <w:num w:numId="2" w16cid:durableId="1893346364">
    <w:abstractNumId w:val="7"/>
  </w:num>
  <w:num w:numId="3" w16cid:durableId="22488986">
    <w:abstractNumId w:val="5"/>
  </w:num>
  <w:num w:numId="4" w16cid:durableId="993993021">
    <w:abstractNumId w:val="16"/>
  </w:num>
  <w:num w:numId="5" w16cid:durableId="1755397788">
    <w:abstractNumId w:val="13"/>
  </w:num>
  <w:num w:numId="6" w16cid:durableId="1324314832">
    <w:abstractNumId w:val="11"/>
  </w:num>
  <w:num w:numId="7" w16cid:durableId="240720347">
    <w:abstractNumId w:val="9"/>
  </w:num>
  <w:num w:numId="8" w16cid:durableId="588466812">
    <w:abstractNumId w:val="3"/>
  </w:num>
  <w:num w:numId="9" w16cid:durableId="871383356">
    <w:abstractNumId w:val="4"/>
  </w:num>
  <w:num w:numId="10" w16cid:durableId="1467503886">
    <w:abstractNumId w:val="0"/>
  </w:num>
  <w:num w:numId="11" w16cid:durableId="1906598389">
    <w:abstractNumId w:val="14"/>
  </w:num>
  <w:num w:numId="12" w16cid:durableId="1088037497">
    <w:abstractNumId w:val="8"/>
  </w:num>
  <w:num w:numId="13" w16cid:durableId="549417205">
    <w:abstractNumId w:val="10"/>
  </w:num>
  <w:num w:numId="14" w16cid:durableId="1383601861">
    <w:abstractNumId w:val="6"/>
  </w:num>
  <w:num w:numId="15" w16cid:durableId="656543313">
    <w:abstractNumId w:val="17"/>
  </w:num>
  <w:num w:numId="16" w16cid:durableId="1919632884">
    <w:abstractNumId w:val="15"/>
  </w:num>
  <w:num w:numId="17" w16cid:durableId="1143931545">
    <w:abstractNumId w:val="12"/>
  </w:num>
  <w:num w:numId="18" w16cid:durableId="925774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60"/>
    <w:rsid w:val="0000598B"/>
    <w:rsid w:val="00010553"/>
    <w:rsid w:val="00023A79"/>
    <w:rsid w:val="000304A5"/>
    <w:rsid w:val="00030B7B"/>
    <w:rsid w:val="00032024"/>
    <w:rsid w:val="0007476C"/>
    <w:rsid w:val="000770CF"/>
    <w:rsid w:val="0008497E"/>
    <w:rsid w:val="0008537D"/>
    <w:rsid w:val="000876F0"/>
    <w:rsid w:val="00090439"/>
    <w:rsid w:val="00094E69"/>
    <w:rsid w:val="000A0B86"/>
    <w:rsid w:val="000A2E36"/>
    <w:rsid w:val="000E185D"/>
    <w:rsid w:val="000E5EF5"/>
    <w:rsid w:val="000F2A16"/>
    <w:rsid w:val="000F4704"/>
    <w:rsid w:val="000F7172"/>
    <w:rsid w:val="00137EBB"/>
    <w:rsid w:val="00173320"/>
    <w:rsid w:val="0019084E"/>
    <w:rsid w:val="001A11DF"/>
    <w:rsid w:val="001E0AA0"/>
    <w:rsid w:val="001F7310"/>
    <w:rsid w:val="0020014F"/>
    <w:rsid w:val="00217CEC"/>
    <w:rsid w:val="00223ABA"/>
    <w:rsid w:val="002307D0"/>
    <w:rsid w:val="0024132B"/>
    <w:rsid w:val="0026049D"/>
    <w:rsid w:val="002A5716"/>
    <w:rsid w:val="002A77BB"/>
    <w:rsid w:val="002B1559"/>
    <w:rsid w:val="002B23C4"/>
    <w:rsid w:val="002B6BF5"/>
    <w:rsid w:val="002C1A72"/>
    <w:rsid w:val="002D5FC9"/>
    <w:rsid w:val="002E4309"/>
    <w:rsid w:val="00300190"/>
    <w:rsid w:val="00322EB0"/>
    <w:rsid w:val="00325B0F"/>
    <w:rsid w:val="00342601"/>
    <w:rsid w:val="00346940"/>
    <w:rsid w:val="003523F6"/>
    <w:rsid w:val="00354BA3"/>
    <w:rsid w:val="00381D25"/>
    <w:rsid w:val="003B6F8A"/>
    <w:rsid w:val="003B7762"/>
    <w:rsid w:val="003E7DE0"/>
    <w:rsid w:val="003F5C7C"/>
    <w:rsid w:val="004032EA"/>
    <w:rsid w:val="0040596F"/>
    <w:rsid w:val="0040604C"/>
    <w:rsid w:val="004133E9"/>
    <w:rsid w:val="004316A3"/>
    <w:rsid w:val="004329FC"/>
    <w:rsid w:val="00434885"/>
    <w:rsid w:val="00471F89"/>
    <w:rsid w:val="004B0B14"/>
    <w:rsid w:val="004F6420"/>
    <w:rsid w:val="00506437"/>
    <w:rsid w:val="005107F7"/>
    <w:rsid w:val="0053138C"/>
    <w:rsid w:val="00544677"/>
    <w:rsid w:val="00555B00"/>
    <w:rsid w:val="005716D2"/>
    <w:rsid w:val="00580573"/>
    <w:rsid w:val="00581915"/>
    <w:rsid w:val="00584450"/>
    <w:rsid w:val="005959B0"/>
    <w:rsid w:val="005E73FC"/>
    <w:rsid w:val="005F06F8"/>
    <w:rsid w:val="00612F4D"/>
    <w:rsid w:val="006161B9"/>
    <w:rsid w:val="006377F5"/>
    <w:rsid w:val="00637A29"/>
    <w:rsid w:val="006547E5"/>
    <w:rsid w:val="00665013"/>
    <w:rsid w:val="006763FB"/>
    <w:rsid w:val="00677578"/>
    <w:rsid w:val="00686D6A"/>
    <w:rsid w:val="006A00BC"/>
    <w:rsid w:val="006A1E02"/>
    <w:rsid w:val="006B4423"/>
    <w:rsid w:val="006C2912"/>
    <w:rsid w:val="006C5184"/>
    <w:rsid w:val="006D1822"/>
    <w:rsid w:val="006E1DD8"/>
    <w:rsid w:val="006E5D1F"/>
    <w:rsid w:val="006F28FF"/>
    <w:rsid w:val="0070527C"/>
    <w:rsid w:val="0074463A"/>
    <w:rsid w:val="00745C34"/>
    <w:rsid w:val="00770B9D"/>
    <w:rsid w:val="00773A17"/>
    <w:rsid w:val="007A6823"/>
    <w:rsid w:val="007B639E"/>
    <w:rsid w:val="007C6614"/>
    <w:rsid w:val="007F60A3"/>
    <w:rsid w:val="00805C22"/>
    <w:rsid w:val="00810DD2"/>
    <w:rsid w:val="00822551"/>
    <w:rsid w:val="00855FBF"/>
    <w:rsid w:val="008A74EA"/>
    <w:rsid w:val="008D347B"/>
    <w:rsid w:val="00920470"/>
    <w:rsid w:val="00936990"/>
    <w:rsid w:val="00941641"/>
    <w:rsid w:val="00955265"/>
    <w:rsid w:val="00960F0E"/>
    <w:rsid w:val="00963042"/>
    <w:rsid w:val="00983ECB"/>
    <w:rsid w:val="009A71E6"/>
    <w:rsid w:val="009B38D4"/>
    <w:rsid w:val="009C4C7C"/>
    <w:rsid w:val="009E4063"/>
    <w:rsid w:val="009F0896"/>
    <w:rsid w:val="009F4823"/>
    <w:rsid w:val="009F6A28"/>
    <w:rsid w:val="00A009BE"/>
    <w:rsid w:val="00A0609A"/>
    <w:rsid w:val="00A24112"/>
    <w:rsid w:val="00A36D62"/>
    <w:rsid w:val="00A47881"/>
    <w:rsid w:val="00A900B7"/>
    <w:rsid w:val="00AB2879"/>
    <w:rsid w:val="00AB7EE3"/>
    <w:rsid w:val="00AC5336"/>
    <w:rsid w:val="00AF5294"/>
    <w:rsid w:val="00B115C5"/>
    <w:rsid w:val="00B1619B"/>
    <w:rsid w:val="00B27D53"/>
    <w:rsid w:val="00B465A1"/>
    <w:rsid w:val="00B52275"/>
    <w:rsid w:val="00B55665"/>
    <w:rsid w:val="00B81886"/>
    <w:rsid w:val="00B851E8"/>
    <w:rsid w:val="00B958FF"/>
    <w:rsid w:val="00BB379C"/>
    <w:rsid w:val="00BD08AF"/>
    <w:rsid w:val="00BD3150"/>
    <w:rsid w:val="00BD4CF5"/>
    <w:rsid w:val="00BD50CB"/>
    <w:rsid w:val="00BE3EC8"/>
    <w:rsid w:val="00C14A3F"/>
    <w:rsid w:val="00C25660"/>
    <w:rsid w:val="00C711C9"/>
    <w:rsid w:val="00C76D12"/>
    <w:rsid w:val="00C8647B"/>
    <w:rsid w:val="00CD1FB1"/>
    <w:rsid w:val="00CD74C9"/>
    <w:rsid w:val="00CE465F"/>
    <w:rsid w:val="00CE7DF3"/>
    <w:rsid w:val="00CF67D5"/>
    <w:rsid w:val="00D074AF"/>
    <w:rsid w:val="00D54673"/>
    <w:rsid w:val="00D54D64"/>
    <w:rsid w:val="00D74543"/>
    <w:rsid w:val="00D75FEF"/>
    <w:rsid w:val="00D83CD7"/>
    <w:rsid w:val="00DA1B5E"/>
    <w:rsid w:val="00DA65F8"/>
    <w:rsid w:val="00DB168E"/>
    <w:rsid w:val="00DD4DBA"/>
    <w:rsid w:val="00DD5C02"/>
    <w:rsid w:val="00DD7863"/>
    <w:rsid w:val="00E07A24"/>
    <w:rsid w:val="00E23AA5"/>
    <w:rsid w:val="00E330A7"/>
    <w:rsid w:val="00E3621C"/>
    <w:rsid w:val="00E42FF0"/>
    <w:rsid w:val="00E5435E"/>
    <w:rsid w:val="00E713D7"/>
    <w:rsid w:val="00E815AE"/>
    <w:rsid w:val="00E93C29"/>
    <w:rsid w:val="00EE1B1C"/>
    <w:rsid w:val="00EE68F2"/>
    <w:rsid w:val="00F10584"/>
    <w:rsid w:val="00F1711E"/>
    <w:rsid w:val="00F20D02"/>
    <w:rsid w:val="00F306F1"/>
    <w:rsid w:val="00F527F4"/>
    <w:rsid w:val="00F72F77"/>
    <w:rsid w:val="00FA62BD"/>
    <w:rsid w:val="00FF5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34A4"/>
  <w15:chartTrackingRefBased/>
  <w15:docId w15:val="{D7766703-D88F-45D8-9A27-D42C0FE1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0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6049D"/>
    <w:pPr>
      <w:widowControl w:val="0"/>
      <w:autoSpaceDE w:val="0"/>
      <w:autoSpaceDN w:val="0"/>
      <w:spacing w:after="0" w:line="240" w:lineRule="auto"/>
      <w:ind w:left="716" w:hanging="577"/>
      <w:outlineLvl w:val="1"/>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660"/>
  </w:style>
  <w:style w:type="paragraph" w:styleId="Footer">
    <w:name w:val="footer"/>
    <w:basedOn w:val="Normal"/>
    <w:link w:val="FooterChar"/>
    <w:uiPriority w:val="99"/>
    <w:unhideWhenUsed/>
    <w:rsid w:val="00C25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660"/>
  </w:style>
  <w:style w:type="table" w:styleId="TableGrid">
    <w:name w:val="Table Grid"/>
    <w:basedOn w:val="TableNormal"/>
    <w:uiPriority w:val="39"/>
    <w:rsid w:val="002B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7E5"/>
    <w:pPr>
      <w:ind w:left="720"/>
      <w:contextualSpacing/>
    </w:pPr>
    <w:rPr>
      <w:rFonts w:ascii="Arial" w:hAnsi="Arial" w:cs="Arial"/>
      <w:kern w:val="0"/>
      <w:sz w:val="24"/>
      <w14:ligatures w14:val="none"/>
    </w:rPr>
  </w:style>
  <w:style w:type="character" w:customStyle="1" w:styleId="Heading2Char">
    <w:name w:val="Heading 2 Char"/>
    <w:basedOn w:val="DefaultParagraphFont"/>
    <w:link w:val="Heading2"/>
    <w:uiPriority w:val="9"/>
    <w:rsid w:val="0026049D"/>
    <w:rPr>
      <w:rFonts w:ascii="Arial" w:eastAsia="Arial" w:hAnsi="Arial" w:cs="Arial"/>
      <w:b/>
      <w:bCs/>
      <w:kern w:val="0"/>
      <w:sz w:val="24"/>
      <w:szCs w:val="24"/>
      <w:lang w:val="en-US"/>
      <w14:ligatures w14:val="none"/>
    </w:rPr>
  </w:style>
  <w:style w:type="character" w:customStyle="1" w:styleId="fontstyle01">
    <w:name w:val="fontstyle01"/>
    <w:basedOn w:val="DefaultParagraphFont"/>
    <w:rsid w:val="006E1DD8"/>
    <w:rPr>
      <w:rFonts w:ascii="Helvetica" w:hAnsi="Helvetica" w:hint="default"/>
      <w:b w:val="0"/>
      <w:bCs w:val="0"/>
      <w:i w:val="0"/>
      <w:iCs w:val="0"/>
      <w:color w:val="000000"/>
      <w:sz w:val="24"/>
      <w:szCs w:val="24"/>
    </w:rPr>
  </w:style>
  <w:style w:type="character" w:styleId="CommentReference">
    <w:name w:val="annotation reference"/>
    <w:basedOn w:val="DefaultParagraphFont"/>
    <w:uiPriority w:val="99"/>
    <w:semiHidden/>
    <w:unhideWhenUsed/>
    <w:rsid w:val="00B115C5"/>
    <w:rPr>
      <w:sz w:val="16"/>
      <w:szCs w:val="16"/>
    </w:rPr>
  </w:style>
  <w:style w:type="paragraph" w:styleId="CommentText">
    <w:name w:val="annotation text"/>
    <w:basedOn w:val="Normal"/>
    <w:link w:val="CommentTextChar"/>
    <w:uiPriority w:val="99"/>
    <w:unhideWhenUsed/>
    <w:rsid w:val="00B115C5"/>
    <w:pPr>
      <w:spacing w:line="240" w:lineRule="auto"/>
    </w:pPr>
    <w:rPr>
      <w:sz w:val="20"/>
      <w:szCs w:val="20"/>
    </w:rPr>
  </w:style>
  <w:style w:type="character" w:customStyle="1" w:styleId="CommentTextChar">
    <w:name w:val="Comment Text Char"/>
    <w:basedOn w:val="DefaultParagraphFont"/>
    <w:link w:val="CommentText"/>
    <w:uiPriority w:val="99"/>
    <w:rsid w:val="00B115C5"/>
    <w:rPr>
      <w:sz w:val="20"/>
      <w:szCs w:val="20"/>
    </w:rPr>
  </w:style>
  <w:style w:type="paragraph" w:styleId="CommentSubject">
    <w:name w:val="annotation subject"/>
    <w:basedOn w:val="CommentText"/>
    <w:next w:val="CommentText"/>
    <w:link w:val="CommentSubjectChar"/>
    <w:uiPriority w:val="99"/>
    <w:semiHidden/>
    <w:unhideWhenUsed/>
    <w:rsid w:val="00B115C5"/>
    <w:rPr>
      <w:b/>
      <w:bCs/>
    </w:rPr>
  </w:style>
  <w:style w:type="character" w:customStyle="1" w:styleId="CommentSubjectChar">
    <w:name w:val="Comment Subject Char"/>
    <w:basedOn w:val="CommentTextChar"/>
    <w:link w:val="CommentSubject"/>
    <w:uiPriority w:val="99"/>
    <w:semiHidden/>
    <w:rsid w:val="00B115C5"/>
    <w:rPr>
      <w:b/>
      <w:bCs/>
      <w:sz w:val="20"/>
      <w:szCs w:val="20"/>
    </w:rPr>
  </w:style>
  <w:style w:type="table" w:styleId="GridTable4-Accent1">
    <w:name w:val="Grid Table 4 Accent 1"/>
    <w:basedOn w:val="TableNormal"/>
    <w:uiPriority w:val="49"/>
    <w:rsid w:val="00BD3150"/>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6B4423"/>
    <w:pPr>
      <w:spacing w:after="0" w:line="240" w:lineRule="auto"/>
    </w:pPr>
  </w:style>
  <w:style w:type="character" w:styleId="Hyperlink">
    <w:name w:val="Hyperlink"/>
    <w:basedOn w:val="DefaultParagraphFont"/>
    <w:uiPriority w:val="99"/>
    <w:unhideWhenUsed/>
    <w:rsid w:val="00B851E8"/>
    <w:rPr>
      <w:color w:val="0563C1" w:themeColor="hyperlink"/>
      <w:u w:val="single"/>
    </w:rPr>
  </w:style>
  <w:style w:type="character" w:styleId="UnresolvedMention">
    <w:name w:val="Unresolved Mention"/>
    <w:basedOn w:val="DefaultParagraphFont"/>
    <w:uiPriority w:val="99"/>
    <w:semiHidden/>
    <w:unhideWhenUsed/>
    <w:rsid w:val="00B851E8"/>
    <w:rPr>
      <w:color w:val="605E5C"/>
      <w:shd w:val="clear" w:color="auto" w:fill="E1DFDD"/>
    </w:rPr>
  </w:style>
  <w:style w:type="character" w:customStyle="1" w:styleId="Heading1Char">
    <w:name w:val="Heading 1 Char"/>
    <w:basedOn w:val="DefaultParagraphFont"/>
    <w:link w:val="Heading1"/>
    <w:uiPriority w:val="9"/>
    <w:rsid w:val="006650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4578">
      <w:bodyDiv w:val="1"/>
      <w:marLeft w:val="0"/>
      <w:marRight w:val="0"/>
      <w:marTop w:val="0"/>
      <w:marBottom w:val="0"/>
      <w:divBdr>
        <w:top w:val="none" w:sz="0" w:space="0" w:color="auto"/>
        <w:left w:val="none" w:sz="0" w:space="0" w:color="auto"/>
        <w:bottom w:val="none" w:sz="0" w:space="0" w:color="auto"/>
        <w:right w:val="none" w:sz="0" w:space="0" w:color="auto"/>
      </w:divBdr>
      <w:divsChild>
        <w:div w:id="1706321921">
          <w:marLeft w:val="0"/>
          <w:marRight w:val="0"/>
          <w:marTop w:val="0"/>
          <w:marBottom w:val="0"/>
          <w:divBdr>
            <w:top w:val="none" w:sz="0" w:space="0" w:color="auto"/>
            <w:left w:val="none" w:sz="0" w:space="0" w:color="auto"/>
            <w:bottom w:val="none" w:sz="0" w:space="0" w:color="auto"/>
            <w:right w:val="none" w:sz="0" w:space="0" w:color="auto"/>
          </w:divBdr>
        </w:div>
        <w:div w:id="506528244">
          <w:marLeft w:val="0"/>
          <w:marRight w:val="0"/>
          <w:marTop w:val="0"/>
          <w:marBottom w:val="0"/>
          <w:divBdr>
            <w:top w:val="none" w:sz="0" w:space="0" w:color="auto"/>
            <w:left w:val="none" w:sz="0" w:space="0" w:color="auto"/>
            <w:bottom w:val="none" w:sz="0" w:space="0" w:color="auto"/>
            <w:right w:val="none" w:sz="0" w:space="0" w:color="auto"/>
          </w:divBdr>
        </w:div>
      </w:divsChild>
    </w:div>
    <w:div w:id="126044996">
      <w:bodyDiv w:val="1"/>
      <w:marLeft w:val="0"/>
      <w:marRight w:val="0"/>
      <w:marTop w:val="0"/>
      <w:marBottom w:val="0"/>
      <w:divBdr>
        <w:top w:val="none" w:sz="0" w:space="0" w:color="auto"/>
        <w:left w:val="none" w:sz="0" w:space="0" w:color="auto"/>
        <w:bottom w:val="none" w:sz="0" w:space="0" w:color="auto"/>
        <w:right w:val="none" w:sz="0" w:space="0" w:color="auto"/>
      </w:divBdr>
    </w:div>
    <w:div w:id="300620993">
      <w:bodyDiv w:val="1"/>
      <w:marLeft w:val="0"/>
      <w:marRight w:val="0"/>
      <w:marTop w:val="0"/>
      <w:marBottom w:val="0"/>
      <w:divBdr>
        <w:top w:val="none" w:sz="0" w:space="0" w:color="auto"/>
        <w:left w:val="none" w:sz="0" w:space="0" w:color="auto"/>
        <w:bottom w:val="none" w:sz="0" w:space="0" w:color="auto"/>
        <w:right w:val="none" w:sz="0" w:space="0" w:color="auto"/>
      </w:divBdr>
    </w:div>
    <w:div w:id="526260940">
      <w:bodyDiv w:val="1"/>
      <w:marLeft w:val="0"/>
      <w:marRight w:val="0"/>
      <w:marTop w:val="0"/>
      <w:marBottom w:val="0"/>
      <w:divBdr>
        <w:top w:val="none" w:sz="0" w:space="0" w:color="auto"/>
        <w:left w:val="none" w:sz="0" w:space="0" w:color="auto"/>
        <w:bottom w:val="none" w:sz="0" w:space="0" w:color="auto"/>
        <w:right w:val="none" w:sz="0" w:space="0" w:color="auto"/>
      </w:divBdr>
    </w:div>
    <w:div w:id="766461017">
      <w:bodyDiv w:val="1"/>
      <w:marLeft w:val="0"/>
      <w:marRight w:val="0"/>
      <w:marTop w:val="0"/>
      <w:marBottom w:val="0"/>
      <w:divBdr>
        <w:top w:val="none" w:sz="0" w:space="0" w:color="auto"/>
        <w:left w:val="none" w:sz="0" w:space="0" w:color="auto"/>
        <w:bottom w:val="none" w:sz="0" w:space="0" w:color="auto"/>
        <w:right w:val="none" w:sz="0" w:space="0" w:color="auto"/>
      </w:divBdr>
    </w:div>
    <w:div w:id="798884204">
      <w:bodyDiv w:val="1"/>
      <w:marLeft w:val="0"/>
      <w:marRight w:val="0"/>
      <w:marTop w:val="0"/>
      <w:marBottom w:val="0"/>
      <w:divBdr>
        <w:top w:val="none" w:sz="0" w:space="0" w:color="auto"/>
        <w:left w:val="none" w:sz="0" w:space="0" w:color="auto"/>
        <w:bottom w:val="none" w:sz="0" w:space="0" w:color="auto"/>
        <w:right w:val="none" w:sz="0" w:space="0" w:color="auto"/>
      </w:divBdr>
    </w:div>
    <w:div w:id="1527214414">
      <w:bodyDiv w:val="1"/>
      <w:marLeft w:val="0"/>
      <w:marRight w:val="0"/>
      <w:marTop w:val="0"/>
      <w:marBottom w:val="0"/>
      <w:divBdr>
        <w:top w:val="none" w:sz="0" w:space="0" w:color="auto"/>
        <w:left w:val="none" w:sz="0" w:space="0" w:color="auto"/>
        <w:bottom w:val="none" w:sz="0" w:space="0" w:color="auto"/>
        <w:right w:val="none" w:sz="0" w:space="0" w:color="auto"/>
      </w:divBdr>
      <w:divsChild>
        <w:div w:id="1370836082">
          <w:marLeft w:val="0"/>
          <w:marRight w:val="0"/>
          <w:marTop w:val="0"/>
          <w:marBottom w:val="0"/>
          <w:divBdr>
            <w:top w:val="none" w:sz="0" w:space="0" w:color="auto"/>
            <w:left w:val="none" w:sz="0" w:space="0" w:color="auto"/>
            <w:bottom w:val="none" w:sz="0" w:space="0" w:color="auto"/>
            <w:right w:val="none" w:sz="0" w:space="0" w:color="auto"/>
          </w:divBdr>
        </w:div>
        <w:div w:id="1241988806">
          <w:marLeft w:val="0"/>
          <w:marRight w:val="0"/>
          <w:marTop w:val="0"/>
          <w:marBottom w:val="0"/>
          <w:divBdr>
            <w:top w:val="none" w:sz="0" w:space="0" w:color="auto"/>
            <w:left w:val="none" w:sz="0" w:space="0" w:color="auto"/>
            <w:bottom w:val="none" w:sz="0" w:space="0" w:color="auto"/>
            <w:right w:val="none" w:sz="0" w:space="0" w:color="auto"/>
          </w:divBdr>
        </w:div>
      </w:divsChild>
    </w:div>
    <w:div w:id="1587226948">
      <w:bodyDiv w:val="1"/>
      <w:marLeft w:val="0"/>
      <w:marRight w:val="0"/>
      <w:marTop w:val="0"/>
      <w:marBottom w:val="0"/>
      <w:divBdr>
        <w:top w:val="none" w:sz="0" w:space="0" w:color="auto"/>
        <w:left w:val="none" w:sz="0" w:space="0" w:color="auto"/>
        <w:bottom w:val="none" w:sz="0" w:space="0" w:color="auto"/>
        <w:right w:val="none" w:sz="0" w:space="0" w:color="auto"/>
      </w:divBdr>
    </w:div>
    <w:div w:id="1601795195">
      <w:bodyDiv w:val="1"/>
      <w:marLeft w:val="0"/>
      <w:marRight w:val="0"/>
      <w:marTop w:val="0"/>
      <w:marBottom w:val="0"/>
      <w:divBdr>
        <w:top w:val="none" w:sz="0" w:space="0" w:color="auto"/>
        <w:left w:val="none" w:sz="0" w:space="0" w:color="auto"/>
        <w:bottom w:val="none" w:sz="0" w:space="0" w:color="auto"/>
        <w:right w:val="none" w:sz="0" w:space="0" w:color="auto"/>
      </w:divBdr>
    </w:div>
    <w:div w:id="1934244507">
      <w:bodyDiv w:val="1"/>
      <w:marLeft w:val="0"/>
      <w:marRight w:val="0"/>
      <w:marTop w:val="0"/>
      <w:marBottom w:val="0"/>
      <w:divBdr>
        <w:top w:val="none" w:sz="0" w:space="0" w:color="auto"/>
        <w:left w:val="none" w:sz="0" w:space="0" w:color="auto"/>
        <w:bottom w:val="none" w:sz="0" w:space="0" w:color="auto"/>
        <w:right w:val="none" w:sz="0" w:space="0" w:color="auto"/>
      </w:divBdr>
    </w:div>
    <w:div w:id="21333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1.jpe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atient-safety/the-nhs-patient-safety-strateg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ED18DB-6444-4DAD-BABF-C9FC1CA85996}"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GB"/>
        </a:p>
      </dgm:t>
    </dgm:pt>
    <dgm:pt modelId="{BA3F73BC-A220-4A8F-8C52-7CFFB60667B6}">
      <dgm:prSet phldrT="[Text]"/>
      <dgm:spPr>
        <a:ln>
          <a:solidFill>
            <a:schemeClr val="bg1"/>
          </a:solidFill>
        </a:ln>
      </dgm:spPr>
      <dgm:t>
        <a:bodyPr/>
        <a:lstStyle/>
        <a:p>
          <a:r>
            <a:rPr lang="en-GB"/>
            <a:t>Patient Safety Priorities</a:t>
          </a:r>
        </a:p>
      </dgm:t>
    </dgm:pt>
    <dgm:pt modelId="{0CBEFAE1-8007-4D83-87D5-D65C4B31B801}" type="parTrans" cxnId="{5E163DB0-E2D7-4006-BD14-E12BE6C5FCD0}">
      <dgm:prSet/>
      <dgm:spPr/>
      <dgm:t>
        <a:bodyPr/>
        <a:lstStyle/>
        <a:p>
          <a:endParaRPr lang="en-GB"/>
        </a:p>
      </dgm:t>
    </dgm:pt>
    <dgm:pt modelId="{C712C879-524D-4F10-B303-A3712A8A37A3}" type="sibTrans" cxnId="{5E163DB0-E2D7-4006-BD14-E12BE6C5FCD0}">
      <dgm:prSet/>
      <dgm:spPr/>
      <dgm:t>
        <a:bodyPr/>
        <a:lstStyle/>
        <a:p>
          <a:endParaRPr lang="en-GB"/>
        </a:p>
      </dgm:t>
    </dgm:pt>
    <dgm:pt modelId="{8DF931ED-CB67-42C2-BCC8-2D9BB366B29D}">
      <dgm:prSet phldrT="[Text]"/>
      <dgm:spPr/>
      <dgm:t>
        <a:bodyPr/>
        <a:lstStyle/>
        <a:p>
          <a:r>
            <a:rPr lang="en-GB"/>
            <a:t>7,499 Greatix events</a:t>
          </a:r>
        </a:p>
      </dgm:t>
    </dgm:pt>
    <dgm:pt modelId="{C315A097-9553-423C-B821-572907CE7A6D}" type="parTrans" cxnId="{F74E877B-144F-42B4-A943-3194AEF2AF65}">
      <dgm:prSet/>
      <dgm:spPr/>
      <dgm:t>
        <a:bodyPr/>
        <a:lstStyle/>
        <a:p>
          <a:endParaRPr lang="en-GB"/>
        </a:p>
      </dgm:t>
    </dgm:pt>
    <dgm:pt modelId="{4BD434B6-D8B1-4DB4-AA48-8F8FD537DA6D}" type="sibTrans" cxnId="{F74E877B-144F-42B4-A943-3194AEF2AF65}">
      <dgm:prSet/>
      <dgm:spPr/>
      <dgm:t>
        <a:bodyPr/>
        <a:lstStyle/>
        <a:p>
          <a:endParaRPr lang="en-GB"/>
        </a:p>
      </dgm:t>
    </dgm:pt>
    <dgm:pt modelId="{4CBA936D-799B-4EE5-B0AA-DD2D99B1DAF8}">
      <dgm:prSet phldrT="[Text]"/>
      <dgm:spPr/>
      <dgm:t>
        <a:bodyPr/>
        <a:lstStyle/>
        <a:p>
          <a:r>
            <a:rPr lang="en-GB"/>
            <a:t>1,475 Formal Complaints</a:t>
          </a:r>
        </a:p>
      </dgm:t>
    </dgm:pt>
    <dgm:pt modelId="{2E897DB5-F884-4430-8E0A-34980519931D}" type="parTrans" cxnId="{9D27CE13-F8A8-4ACA-B0C0-9747CDD3FCE6}">
      <dgm:prSet/>
      <dgm:spPr/>
      <dgm:t>
        <a:bodyPr/>
        <a:lstStyle/>
        <a:p>
          <a:endParaRPr lang="en-GB"/>
        </a:p>
      </dgm:t>
    </dgm:pt>
    <dgm:pt modelId="{233D32D3-6D75-4A7C-AD6D-12231B49FA5E}" type="sibTrans" cxnId="{9D27CE13-F8A8-4ACA-B0C0-9747CDD3FCE6}">
      <dgm:prSet/>
      <dgm:spPr/>
      <dgm:t>
        <a:bodyPr/>
        <a:lstStyle/>
        <a:p>
          <a:endParaRPr lang="en-GB"/>
        </a:p>
      </dgm:t>
    </dgm:pt>
    <dgm:pt modelId="{F358715F-853F-437D-A70C-C42262ED4F95}">
      <dgm:prSet phldrT="[Text]"/>
      <dgm:spPr/>
      <dgm:t>
        <a:bodyPr/>
        <a:lstStyle/>
        <a:p>
          <a:r>
            <a:rPr lang="en-GB"/>
            <a:t>1,475 Legal Claims</a:t>
          </a:r>
        </a:p>
      </dgm:t>
    </dgm:pt>
    <dgm:pt modelId="{976EE36B-8CAE-45FE-B2B1-6FE4E3C0159D}" type="parTrans" cxnId="{2596C37A-D87A-439E-B9B7-6C2B089C419F}">
      <dgm:prSet/>
      <dgm:spPr/>
      <dgm:t>
        <a:bodyPr/>
        <a:lstStyle/>
        <a:p>
          <a:endParaRPr lang="en-GB"/>
        </a:p>
      </dgm:t>
    </dgm:pt>
    <dgm:pt modelId="{DFBC56F7-4D66-4C3D-950B-66161E2070FD}" type="sibTrans" cxnId="{2596C37A-D87A-439E-B9B7-6C2B089C419F}">
      <dgm:prSet/>
      <dgm:spPr/>
      <dgm:t>
        <a:bodyPr/>
        <a:lstStyle/>
        <a:p>
          <a:endParaRPr lang="en-GB"/>
        </a:p>
      </dgm:t>
    </dgm:pt>
    <dgm:pt modelId="{2497548D-1C86-42B0-A6AD-3E7939DEDD8B}">
      <dgm:prSet phldrT="[Text]"/>
      <dgm:spPr/>
      <dgm:t>
        <a:bodyPr/>
        <a:lstStyle/>
        <a:p>
          <a:r>
            <a:rPr lang="en-GB"/>
            <a:t>3,565 Level 2 Mortality reviews </a:t>
          </a:r>
        </a:p>
      </dgm:t>
    </dgm:pt>
    <dgm:pt modelId="{53C34919-5F42-4C32-83A8-449F3D87CADF}" type="parTrans" cxnId="{B3F06FB2-30CC-41AF-AC4F-11EECF739387}">
      <dgm:prSet/>
      <dgm:spPr/>
      <dgm:t>
        <a:bodyPr/>
        <a:lstStyle/>
        <a:p>
          <a:endParaRPr lang="en-GB"/>
        </a:p>
      </dgm:t>
    </dgm:pt>
    <dgm:pt modelId="{7B5F37B8-17EC-421E-9087-071676E3C91D}" type="sibTrans" cxnId="{B3F06FB2-30CC-41AF-AC4F-11EECF739387}">
      <dgm:prSet/>
      <dgm:spPr/>
      <dgm:t>
        <a:bodyPr/>
        <a:lstStyle/>
        <a:p>
          <a:endParaRPr lang="en-GB"/>
        </a:p>
      </dgm:t>
    </dgm:pt>
    <dgm:pt modelId="{C4812DD7-72A2-4804-83D8-BA1A4231B418}">
      <dgm:prSet/>
      <dgm:spPr/>
      <dgm:t>
        <a:bodyPr/>
        <a:lstStyle/>
        <a:p>
          <a:r>
            <a:rPr lang="en-GB"/>
            <a:t>56,921 Datix incidents</a:t>
          </a:r>
        </a:p>
      </dgm:t>
    </dgm:pt>
    <dgm:pt modelId="{96CBA9DD-3991-4D38-AC82-430CC22E78DA}" type="parTrans" cxnId="{4D848B82-1B60-4477-8DA9-0DB229024311}">
      <dgm:prSet/>
      <dgm:spPr/>
      <dgm:t>
        <a:bodyPr/>
        <a:lstStyle/>
        <a:p>
          <a:endParaRPr lang="en-GB"/>
        </a:p>
      </dgm:t>
    </dgm:pt>
    <dgm:pt modelId="{F6019A2B-B4B6-46F6-8BB2-7CB756A3AC07}" type="sibTrans" cxnId="{4D848B82-1B60-4477-8DA9-0DB229024311}">
      <dgm:prSet/>
      <dgm:spPr/>
      <dgm:t>
        <a:bodyPr/>
        <a:lstStyle/>
        <a:p>
          <a:endParaRPr lang="en-GB"/>
        </a:p>
      </dgm:t>
    </dgm:pt>
    <dgm:pt modelId="{435FC7E3-1A62-495F-AE4B-4E98281CA17B}">
      <dgm:prSet/>
      <dgm:spPr/>
      <dgm:t>
        <a:bodyPr/>
        <a:lstStyle/>
        <a:p>
          <a:r>
            <a:rPr lang="en-GB"/>
            <a:t>184* Serious incidents</a:t>
          </a:r>
        </a:p>
      </dgm:t>
    </dgm:pt>
    <dgm:pt modelId="{8967B161-312D-45FF-8853-2F56DB46C825}" type="parTrans" cxnId="{28AE9CD8-3426-45B9-8E20-7FE0433E2FF1}">
      <dgm:prSet/>
      <dgm:spPr/>
      <dgm:t>
        <a:bodyPr/>
        <a:lstStyle/>
        <a:p>
          <a:endParaRPr lang="en-GB"/>
        </a:p>
      </dgm:t>
    </dgm:pt>
    <dgm:pt modelId="{148BA34B-4B03-40AE-9BC7-816DA7F54ACB}" type="sibTrans" cxnId="{28AE9CD8-3426-45B9-8E20-7FE0433E2FF1}">
      <dgm:prSet/>
      <dgm:spPr/>
      <dgm:t>
        <a:bodyPr/>
        <a:lstStyle/>
        <a:p>
          <a:endParaRPr lang="en-GB"/>
        </a:p>
      </dgm:t>
    </dgm:pt>
    <dgm:pt modelId="{4A89688D-ECCB-4A3D-A114-AC8D823D9674}">
      <dgm:prSet/>
      <dgm:spPr/>
      <dgm:t>
        <a:bodyPr/>
        <a:lstStyle/>
        <a:p>
          <a:r>
            <a:rPr lang="en-GB"/>
            <a:t>9,608 PALS contacts</a:t>
          </a:r>
        </a:p>
      </dgm:t>
    </dgm:pt>
    <dgm:pt modelId="{D57269B8-F5DC-4072-8A38-0FB0942C1F00}" type="parTrans" cxnId="{DD86C68A-9320-4CD4-9034-348B9E2D3C8C}">
      <dgm:prSet/>
      <dgm:spPr/>
      <dgm:t>
        <a:bodyPr/>
        <a:lstStyle/>
        <a:p>
          <a:endParaRPr lang="en-GB"/>
        </a:p>
      </dgm:t>
    </dgm:pt>
    <dgm:pt modelId="{57B21761-6134-4837-B1A1-65DAAD7E2472}" type="sibTrans" cxnId="{DD86C68A-9320-4CD4-9034-348B9E2D3C8C}">
      <dgm:prSet/>
      <dgm:spPr/>
      <dgm:t>
        <a:bodyPr/>
        <a:lstStyle/>
        <a:p>
          <a:endParaRPr lang="en-GB"/>
        </a:p>
      </dgm:t>
    </dgm:pt>
    <dgm:pt modelId="{9ED8D1A6-18AF-4FDD-B39E-08FC0153BD79}" type="pres">
      <dgm:prSet presAssocID="{2FED18DB-6444-4DAD-BABF-C9FC1CA85996}" presName="composite" presStyleCnt="0">
        <dgm:presLayoutVars>
          <dgm:chMax val="1"/>
          <dgm:dir/>
          <dgm:resizeHandles val="exact"/>
        </dgm:presLayoutVars>
      </dgm:prSet>
      <dgm:spPr/>
    </dgm:pt>
    <dgm:pt modelId="{129EABC3-1246-446C-A95A-5683313E4189}" type="pres">
      <dgm:prSet presAssocID="{2FED18DB-6444-4DAD-BABF-C9FC1CA85996}" presName="radial" presStyleCnt="0">
        <dgm:presLayoutVars>
          <dgm:animLvl val="ctr"/>
        </dgm:presLayoutVars>
      </dgm:prSet>
      <dgm:spPr/>
    </dgm:pt>
    <dgm:pt modelId="{A1162EFD-3A65-4094-B2BF-943611EF9A6E}" type="pres">
      <dgm:prSet presAssocID="{BA3F73BC-A220-4A8F-8C52-7CFFB60667B6}" presName="centerShape" presStyleLbl="vennNode1" presStyleIdx="0" presStyleCnt="8"/>
      <dgm:spPr/>
    </dgm:pt>
    <dgm:pt modelId="{D5104F54-D553-4935-9641-0CABB8953157}" type="pres">
      <dgm:prSet presAssocID="{8DF931ED-CB67-42C2-BCC8-2D9BB366B29D}" presName="node" presStyleLbl="vennNode1" presStyleIdx="1" presStyleCnt="8">
        <dgm:presLayoutVars>
          <dgm:bulletEnabled val="1"/>
        </dgm:presLayoutVars>
      </dgm:prSet>
      <dgm:spPr/>
    </dgm:pt>
    <dgm:pt modelId="{AE3014D5-BE33-4CA4-91AB-C0808A7B63E0}" type="pres">
      <dgm:prSet presAssocID="{C4812DD7-72A2-4804-83D8-BA1A4231B418}" presName="node" presStyleLbl="vennNode1" presStyleIdx="2" presStyleCnt="8">
        <dgm:presLayoutVars>
          <dgm:bulletEnabled val="1"/>
        </dgm:presLayoutVars>
      </dgm:prSet>
      <dgm:spPr/>
    </dgm:pt>
    <dgm:pt modelId="{DA792D15-A01A-4C2C-ADA6-B620491C530B}" type="pres">
      <dgm:prSet presAssocID="{435FC7E3-1A62-495F-AE4B-4E98281CA17B}" presName="node" presStyleLbl="vennNode1" presStyleIdx="3" presStyleCnt="8">
        <dgm:presLayoutVars>
          <dgm:bulletEnabled val="1"/>
        </dgm:presLayoutVars>
      </dgm:prSet>
      <dgm:spPr/>
    </dgm:pt>
    <dgm:pt modelId="{CFBB2671-74CF-48C6-A654-796015170E3F}" type="pres">
      <dgm:prSet presAssocID="{4A89688D-ECCB-4A3D-A114-AC8D823D9674}" presName="node" presStyleLbl="vennNode1" presStyleIdx="4" presStyleCnt="8">
        <dgm:presLayoutVars>
          <dgm:bulletEnabled val="1"/>
        </dgm:presLayoutVars>
      </dgm:prSet>
      <dgm:spPr/>
    </dgm:pt>
    <dgm:pt modelId="{26B71BCB-9DFE-47E6-8483-DDD8461BD7B2}" type="pres">
      <dgm:prSet presAssocID="{4CBA936D-799B-4EE5-B0AA-DD2D99B1DAF8}" presName="node" presStyleLbl="vennNode1" presStyleIdx="5" presStyleCnt="8">
        <dgm:presLayoutVars>
          <dgm:bulletEnabled val="1"/>
        </dgm:presLayoutVars>
      </dgm:prSet>
      <dgm:spPr/>
    </dgm:pt>
    <dgm:pt modelId="{C7878529-12DA-4272-8F75-569EA9C296C0}" type="pres">
      <dgm:prSet presAssocID="{F358715F-853F-437D-A70C-C42262ED4F95}" presName="node" presStyleLbl="vennNode1" presStyleIdx="6" presStyleCnt="8">
        <dgm:presLayoutVars>
          <dgm:bulletEnabled val="1"/>
        </dgm:presLayoutVars>
      </dgm:prSet>
      <dgm:spPr/>
    </dgm:pt>
    <dgm:pt modelId="{0F091E49-B814-4283-906A-729CD488E7AC}" type="pres">
      <dgm:prSet presAssocID="{2497548D-1C86-42B0-A6AD-3E7939DEDD8B}" presName="node" presStyleLbl="vennNode1" presStyleIdx="7" presStyleCnt="8">
        <dgm:presLayoutVars>
          <dgm:bulletEnabled val="1"/>
        </dgm:presLayoutVars>
      </dgm:prSet>
      <dgm:spPr/>
    </dgm:pt>
  </dgm:ptLst>
  <dgm:cxnLst>
    <dgm:cxn modelId="{6C4F2E05-C9AA-4B6D-9D0F-909F2E05A874}" type="presOf" srcId="{F358715F-853F-437D-A70C-C42262ED4F95}" destId="{C7878529-12DA-4272-8F75-569EA9C296C0}" srcOrd="0" destOrd="0" presId="urn:microsoft.com/office/officeart/2005/8/layout/radial3"/>
    <dgm:cxn modelId="{2607BD12-370C-4D61-8758-E58BA59B4D4B}" type="presOf" srcId="{BA3F73BC-A220-4A8F-8C52-7CFFB60667B6}" destId="{A1162EFD-3A65-4094-B2BF-943611EF9A6E}" srcOrd="0" destOrd="0" presId="urn:microsoft.com/office/officeart/2005/8/layout/radial3"/>
    <dgm:cxn modelId="{9D27CE13-F8A8-4ACA-B0C0-9747CDD3FCE6}" srcId="{BA3F73BC-A220-4A8F-8C52-7CFFB60667B6}" destId="{4CBA936D-799B-4EE5-B0AA-DD2D99B1DAF8}" srcOrd="4" destOrd="0" parTransId="{2E897DB5-F884-4430-8E0A-34980519931D}" sibTransId="{233D32D3-6D75-4A7C-AD6D-12231B49FA5E}"/>
    <dgm:cxn modelId="{04E87659-9A9B-4292-B4E3-4F746A9F021E}" type="presOf" srcId="{C4812DD7-72A2-4804-83D8-BA1A4231B418}" destId="{AE3014D5-BE33-4CA4-91AB-C0808A7B63E0}" srcOrd="0" destOrd="0" presId="urn:microsoft.com/office/officeart/2005/8/layout/radial3"/>
    <dgm:cxn modelId="{2596C37A-D87A-439E-B9B7-6C2B089C419F}" srcId="{BA3F73BC-A220-4A8F-8C52-7CFFB60667B6}" destId="{F358715F-853F-437D-A70C-C42262ED4F95}" srcOrd="5" destOrd="0" parTransId="{976EE36B-8CAE-45FE-B2B1-6FE4E3C0159D}" sibTransId="{DFBC56F7-4D66-4C3D-950B-66161E2070FD}"/>
    <dgm:cxn modelId="{F74E877B-144F-42B4-A943-3194AEF2AF65}" srcId="{BA3F73BC-A220-4A8F-8C52-7CFFB60667B6}" destId="{8DF931ED-CB67-42C2-BCC8-2D9BB366B29D}" srcOrd="0" destOrd="0" parTransId="{C315A097-9553-423C-B821-572907CE7A6D}" sibTransId="{4BD434B6-D8B1-4DB4-AA48-8F8FD537DA6D}"/>
    <dgm:cxn modelId="{4D848B82-1B60-4477-8DA9-0DB229024311}" srcId="{BA3F73BC-A220-4A8F-8C52-7CFFB60667B6}" destId="{C4812DD7-72A2-4804-83D8-BA1A4231B418}" srcOrd="1" destOrd="0" parTransId="{96CBA9DD-3991-4D38-AC82-430CC22E78DA}" sibTransId="{F6019A2B-B4B6-46F6-8BB2-7CB756A3AC07}"/>
    <dgm:cxn modelId="{DD86C68A-9320-4CD4-9034-348B9E2D3C8C}" srcId="{BA3F73BC-A220-4A8F-8C52-7CFFB60667B6}" destId="{4A89688D-ECCB-4A3D-A114-AC8D823D9674}" srcOrd="3" destOrd="0" parTransId="{D57269B8-F5DC-4072-8A38-0FB0942C1F00}" sibTransId="{57B21761-6134-4837-B1A1-65DAAD7E2472}"/>
    <dgm:cxn modelId="{F13B058E-A431-47AD-BEE6-56630E87CDEF}" type="presOf" srcId="{2FED18DB-6444-4DAD-BABF-C9FC1CA85996}" destId="{9ED8D1A6-18AF-4FDD-B39E-08FC0153BD79}" srcOrd="0" destOrd="0" presId="urn:microsoft.com/office/officeart/2005/8/layout/radial3"/>
    <dgm:cxn modelId="{EC285894-BBCA-43B7-BBD6-6C070B4BA9D0}" type="presOf" srcId="{4CBA936D-799B-4EE5-B0AA-DD2D99B1DAF8}" destId="{26B71BCB-9DFE-47E6-8483-DDD8461BD7B2}" srcOrd="0" destOrd="0" presId="urn:microsoft.com/office/officeart/2005/8/layout/radial3"/>
    <dgm:cxn modelId="{5E163DB0-E2D7-4006-BD14-E12BE6C5FCD0}" srcId="{2FED18DB-6444-4DAD-BABF-C9FC1CA85996}" destId="{BA3F73BC-A220-4A8F-8C52-7CFFB60667B6}" srcOrd="0" destOrd="0" parTransId="{0CBEFAE1-8007-4D83-87D5-D65C4B31B801}" sibTransId="{C712C879-524D-4F10-B303-A3712A8A37A3}"/>
    <dgm:cxn modelId="{B3F06FB2-30CC-41AF-AC4F-11EECF739387}" srcId="{BA3F73BC-A220-4A8F-8C52-7CFFB60667B6}" destId="{2497548D-1C86-42B0-A6AD-3E7939DEDD8B}" srcOrd="6" destOrd="0" parTransId="{53C34919-5F42-4C32-83A8-449F3D87CADF}" sibTransId="{7B5F37B8-17EC-421E-9087-071676E3C91D}"/>
    <dgm:cxn modelId="{28AE9CD8-3426-45B9-8E20-7FE0433E2FF1}" srcId="{BA3F73BC-A220-4A8F-8C52-7CFFB60667B6}" destId="{435FC7E3-1A62-495F-AE4B-4E98281CA17B}" srcOrd="2" destOrd="0" parTransId="{8967B161-312D-45FF-8853-2F56DB46C825}" sibTransId="{148BA34B-4B03-40AE-9BC7-816DA7F54ACB}"/>
    <dgm:cxn modelId="{F71226DF-67D2-441A-9BDE-6F53655C9F53}" type="presOf" srcId="{8DF931ED-CB67-42C2-BCC8-2D9BB366B29D}" destId="{D5104F54-D553-4935-9641-0CABB8953157}" srcOrd="0" destOrd="0" presId="urn:microsoft.com/office/officeart/2005/8/layout/radial3"/>
    <dgm:cxn modelId="{97B5FEEF-48C2-4500-A562-7DCE4484F724}" type="presOf" srcId="{435FC7E3-1A62-495F-AE4B-4E98281CA17B}" destId="{DA792D15-A01A-4C2C-ADA6-B620491C530B}" srcOrd="0" destOrd="0" presId="urn:microsoft.com/office/officeart/2005/8/layout/radial3"/>
    <dgm:cxn modelId="{4A1897F4-5538-49AF-8327-54D4E9F79921}" type="presOf" srcId="{2497548D-1C86-42B0-A6AD-3E7939DEDD8B}" destId="{0F091E49-B814-4283-906A-729CD488E7AC}" srcOrd="0" destOrd="0" presId="urn:microsoft.com/office/officeart/2005/8/layout/radial3"/>
    <dgm:cxn modelId="{5F60A9FB-6EBE-4770-ACBE-5193830DB3A3}" type="presOf" srcId="{4A89688D-ECCB-4A3D-A114-AC8D823D9674}" destId="{CFBB2671-74CF-48C6-A654-796015170E3F}" srcOrd="0" destOrd="0" presId="urn:microsoft.com/office/officeart/2005/8/layout/radial3"/>
    <dgm:cxn modelId="{0EFD01FD-5DA7-4129-8655-2F63312F7653}" type="presParOf" srcId="{9ED8D1A6-18AF-4FDD-B39E-08FC0153BD79}" destId="{129EABC3-1246-446C-A95A-5683313E4189}" srcOrd="0" destOrd="0" presId="urn:microsoft.com/office/officeart/2005/8/layout/radial3"/>
    <dgm:cxn modelId="{558887D6-E3A0-419D-AEDA-9EE2D71AA45B}" type="presParOf" srcId="{129EABC3-1246-446C-A95A-5683313E4189}" destId="{A1162EFD-3A65-4094-B2BF-943611EF9A6E}" srcOrd="0" destOrd="0" presId="urn:microsoft.com/office/officeart/2005/8/layout/radial3"/>
    <dgm:cxn modelId="{3D2A63D8-FA82-41F9-AB4D-CA2D95F33D35}" type="presParOf" srcId="{129EABC3-1246-446C-A95A-5683313E4189}" destId="{D5104F54-D553-4935-9641-0CABB8953157}" srcOrd="1" destOrd="0" presId="urn:microsoft.com/office/officeart/2005/8/layout/radial3"/>
    <dgm:cxn modelId="{F9F4CDA6-01C6-40A6-8D0B-615CA21C53CE}" type="presParOf" srcId="{129EABC3-1246-446C-A95A-5683313E4189}" destId="{AE3014D5-BE33-4CA4-91AB-C0808A7B63E0}" srcOrd="2" destOrd="0" presId="urn:microsoft.com/office/officeart/2005/8/layout/radial3"/>
    <dgm:cxn modelId="{1893931D-2EFD-40AD-82D9-E10B3C8BDEFC}" type="presParOf" srcId="{129EABC3-1246-446C-A95A-5683313E4189}" destId="{DA792D15-A01A-4C2C-ADA6-B620491C530B}" srcOrd="3" destOrd="0" presId="urn:microsoft.com/office/officeart/2005/8/layout/radial3"/>
    <dgm:cxn modelId="{BD04DE91-0F82-44A0-983F-A126B8161F62}" type="presParOf" srcId="{129EABC3-1246-446C-A95A-5683313E4189}" destId="{CFBB2671-74CF-48C6-A654-796015170E3F}" srcOrd="4" destOrd="0" presId="urn:microsoft.com/office/officeart/2005/8/layout/radial3"/>
    <dgm:cxn modelId="{E76092C0-B515-449B-A8E8-712FE64F4249}" type="presParOf" srcId="{129EABC3-1246-446C-A95A-5683313E4189}" destId="{26B71BCB-9DFE-47E6-8483-DDD8461BD7B2}" srcOrd="5" destOrd="0" presId="urn:microsoft.com/office/officeart/2005/8/layout/radial3"/>
    <dgm:cxn modelId="{9F1DB5BF-41FF-4A3B-8A66-8ECDA5BDBE06}" type="presParOf" srcId="{129EABC3-1246-446C-A95A-5683313E4189}" destId="{C7878529-12DA-4272-8F75-569EA9C296C0}" srcOrd="6" destOrd="0" presId="urn:microsoft.com/office/officeart/2005/8/layout/radial3"/>
    <dgm:cxn modelId="{A60D8A43-B5BA-4578-884A-B3111BBC2863}" type="presParOf" srcId="{129EABC3-1246-446C-A95A-5683313E4189}" destId="{0F091E49-B814-4283-906A-729CD488E7AC}" srcOrd="7"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162EFD-3A65-4094-B2BF-943611EF9A6E}">
      <dsp:nvSpPr>
        <dsp:cNvPr id="0" name=""/>
        <dsp:cNvSpPr/>
      </dsp:nvSpPr>
      <dsp:spPr>
        <a:xfrm>
          <a:off x="1839962" y="755246"/>
          <a:ext cx="1806475" cy="1806475"/>
        </a:xfrm>
        <a:prstGeom prst="ellipse">
          <a:avLst/>
        </a:prstGeom>
        <a:solidFill>
          <a:schemeClr val="accent1">
            <a:alpha val="5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r>
            <a:rPr lang="en-GB" sz="2600" kern="1200"/>
            <a:t>Patient Safety Priorities</a:t>
          </a:r>
        </a:p>
      </dsp:txBody>
      <dsp:txXfrm>
        <a:off x="2104514" y="1019798"/>
        <a:ext cx="1277371" cy="1277371"/>
      </dsp:txXfrm>
    </dsp:sp>
    <dsp:sp modelId="{D5104F54-D553-4935-9641-0CABB8953157}">
      <dsp:nvSpPr>
        <dsp:cNvPr id="0" name=""/>
        <dsp:cNvSpPr/>
      </dsp:nvSpPr>
      <dsp:spPr>
        <a:xfrm>
          <a:off x="2291581" y="29770"/>
          <a:ext cx="903237" cy="90323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7,499 Greatix events</a:t>
          </a:r>
        </a:p>
      </dsp:txBody>
      <dsp:txXfrm>
        <a:off x="2423857" y="162046"/>
        <a:ext cx="638685" cy="638685"/>
      </dsp:txXfrm>
    </dsp:sp>
    <dsp:sp modelId="{AE3014D5-BE33-4CA4-91AB-C0808A7B63E0}">
      <dsp:nvSpPr>
        <dsp:cNvPr id="0" name=""/>
        <dsp:cNvSpPr/>
      </dsp:nvSpPr>
      <dsp:spPr>
        <a:xfrm>
          <a:off x="3211870" y="472958"/>
          <a:ext cx="903237" cy="90323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56,921 Datix incidents</a:t>
          </a:r>
        </a:p>
      </dsp:txBody>
      <dsp:txXfrm>
        <a:off x="3344146" y="605234"/>
        <a:ext cx="638685" cy="638685"/>
      </dsp:txXfrm>
    </dsp:sp>
    <dsp:sp modelId="{DA792D15-A01A-4C2C-ADA6-B620491C530B}">
      <dsp:nvSpPr>
        <dsp:cNvPr id="0" name=""/>
        <dsp:cNvSpPr/>
      </dsp:nvSpPr>
      <dsp:spPr>
        <a:xfrm>
          <a:off x="3439163" y="1468793"/>
          <a:ext cx="903237" cy="90323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184* Serious incidents</a:t>
          </a:r>
        </a:p>
      </dsp:txBody>
      <dsp:txXfrm>
        <a:off x="3571439" y="1601069"/>
        <a:ext cx="638685" cy="638685"/>
      </dsp:txXfrm>
    </dsp:sp>
    <dsp:sp modelId="{CFBB2671-74CF-48C6-A654-796015170E3F}">
      <dsp:nvSpPr>
        <dsp:cNvPr id="0" name=""/>
        <dsp:cNvSpPr/>
      </dsp:nvSpPr>
      <dsp:spPr>
        <a:xfrm>
          <a:off x="2802303" y="2267391"/>
          <a:ext cx="903237" cy="90323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9,608 PALS contacts</a:t>
          </a:r>
        </a:p>
      </dsp:txBody>
      <dsp:txXfrm>
        <a:off x="2934579" y="2399667"/>
        <a:ext cx="638685" cy="638685"/>
      </dsp:txXfrm>
    </dsp:sp>
    <dsp:sp modelId="{26B71BCB-9DFE-47E6-8483-DDD8461BD7B2}">
      <dsp:nvSpPr>
        <dsp:cNvPr id="0" name=""/>
        <dsp:cNvSpPr/>
      </dsp:nvSpPr>
      <dsp:spPr>
        <a:xfrm>
          <a:off x="1780858" y="2267391"/>
          <a:ext cx="903237" cy="90323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1,475 Formal Complaints</a:t>
          </a:r>
        </a:p>
      </dsp:txBody>
      <dsp:txXfrm>
        <a:off x="1913134" y="2399667"/>
        <a:ext cx="638685" cy="638685"/>
      </dsp:txXfrm>
    </dsp:sp>
    <dsp:sp modelId="{C7878529-12DA-4272-8F75-569EA9C296C0}">
      <dsp:nvSpPr>
        <dsp:cNvPr id="0" name=""/>
        <dsp:cNvSpPr/>
      </dsp:nvSpPr>
      <dsp:spPr>
        <a:xfrm>
          <a:off x="1143998" y="1468793"/>
          <a:ext cx="903237" cy="90323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1,475 Legal Claims</a:t>
          </a:r>
        </a:p>
      </dsp:txBody>
      <dsp:txXfrm>
        <a:off x="1276274" y="1601069"/>
        <a:ext cx="638685" cy="638685"/>
      </dsp:txXfrm>
    </dsp:sp>
    <dsp:sp modelId="{0F091E49-B814-4283-906A-729CD488E7AC}">
      <dsp:nvSpPr>
        <dsp:cNvPr id="0" name=""/>
        <dsp:cNvSpPr/>
      </dsp:nvSpPr>
      <dsp:spPr>
        <a:xfrm>
          <a:off x="1371291" y="472958"/>
          <a:ext cx="903237" cy="90323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3,565 Level 2 Mortality reviews </a:t>
          </a:r>
        </a:p>
      </dsp:txBody>
      <dsp:txXfrm>
        <a:off x="1503567" y="605234"/>
        <a:ext cx="638685" cy="6386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1B7FD266E425388ADD8FB78625F54"/>
        <w:category>
          <w:name w:val="General"/>
          <w:gallery w:val="placeholder"/>
        </w:category>
        <w:types>
          <w:type w:val="bbPlcHdr"/>
        </w:types>
        <w:behaviors>
          <w:behavior w:val="content"/>
        </w:behaviors>
        <w:guid w:val="{30EE0BD9-AAA0-46CB-B336-90592F77C630}"/>
      </w:docPartPr>
      <w:docPartBody>
        <w:p w:rsidR="00E23C81" w:rsidRDefault="00E23C81" w:rsidP="00E23C81">
          <w:pPr>
            <w:pStyle w:val="A871B7FD266E425388ADD8FB78625F5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C81"/>
    <w:rsid w:val="0007476C"/>
    <w:rsid w:val="00083C9B"/>
    <w:rsid w:val="001761B2"/>
    <w:rsid w:val="005B49A0"/>
    <w:rsid w:val="007F60A3"/>
    <w:rsid w:val="00945455"/>
    <w:rsid w:val="00A20510"/>
    <w:rsid w:val="00AB7EE3"/>
    <w:rsid w:val="00BB6AE7"/>
    <w:rsid w:val="00D074AF"/>
    <w:rsid w:val="00E23C81"/>
    <w:rsid w:val="00E330A7"/>
    <w:rsid w:val="00F527F4"/>
    <w:rsid w:val="00F640C8"/>
    <w:rsid w:val="00FD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C81"/>
    <w:rPr>
      <w:color w:val="808080"/>
    </w:rPr>
  </w:style>
  <w:style w:type="paragraph" w:customStyle="1" w:styleId="A871B7FD266E425388ADD8FB78625F54">
    <w:name w:val="A871B7FD266E425388ADD8FB78625F54"/>
    <w:rsid w:val="00E23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383143EA933A44A195610E8464FC04" ma:contentTypeVersion="12" ma:contentTypeDescription="Create a new document." ma:contentTypeScope="" ma:versionID="f5e01092646d4e3c9ce4c5d77d0670e1">
  <xsd:schema xmlns:xsd="http://www.w3.org/2001/XMLSchema" xmlns:xs="http://www.w3.org/2001/XMLSchema" xmlns:p="http://schemas.microsoft.com/office/2006/metadata/properties" xmlns:ns1="http://schemas.microsoft.com/sharepoint/v3" xmlns:ns2="825016f2-480b-4b0c-9797-4778f76bfcef" xmlns:ns3="2c0a9fd4-04f7-4ebc-8b01-3cb01445c74b" targetNamespace="http://schemas.microsoft.com/office/2006/metadata/properties" ma:root="true" ma:fieldsID="9a23bd0cfcb9ac30496187c334977b8e" ns1:_="" ns2:_="" ns3:_="">
    <xsd:import namespace="http://schemas.microsoft.com/sharepoint/v3"/>
    <xsd:import namespace="825016f2-480b-4b0c-9797-4778f76bfcef"/>
    <xsd:import namespace="2c0a9fd4-04f7-4ebc-8b01-3cb01445c7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016f2-480b-4b0c-9797-4778f76b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a9fd4-04f7-4ebc-8b01-3cb01445c7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70D4FB5-4DAD-4701-9914-D061BBBD3EAD}">
  <ds:schemaRefs>
    <ds:schemaRef ds:uri="http://schemas.microsoft.com/sharepoint/v3/contenttype/forms"/>
  </ds:schemaRefs>
</ds:datastoreItem>
</file>

<file path=customXml/itemProps2.xml><?xml version="1.0" encoding="utf-8"?>
<ds:datastoreItem xmlns:ds="http://schemas.openxmlformats.org/officeDocument/2006/customXml" ds:itemID="{4445E064-69B1-49E8-8ED8-F7CFDE4A9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5016f2-480b-4b0c-9797-4778f76bfcef"/>
    <ds:schemaRef ds:uri="2c0a9fd4-04f7-4ebc-8b01-3cb01445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22150-80C7-44B4-9F44-6001780D690B}">
  <ds:schemaRefs>
    <ds:schemaRef ds:uri="http://schemas.openxmlformats.org/officeDocument/2006/bibliography"/>
  </ds:schemaRefs>
</ds:datastoreItem>
</file>

<file path=customXml/itemProps4.xml><?xml version="1.0" encoding="utf-8"?>
<ds:datastoreItem xmlns:ds="http://schemas.openxmlformats.org/officeDocument/2006/customXml" ds:itemID="{492B5092-79CF-41A1-8A4F-033615A060FD}">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www.w3.org/XML/1998/namespace"/>
    <ds:schemaRef ds:uri="2c0a9fd4-04f7-4ebc-8b01-3cb01445c74b"/>
    <ds:schemaRef ds:uri="825016f2-480b-4b0c-9797-4778f76bfcef"/>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4057</Words>
  <Characters>23125</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patient Safety incident response plan – October 2023V2</dc:creator>
  <cp:keywords/>
  <dc:description/>
  <cp:lastModifiedBy>MARSH, Julie (THE NEWCASTLE UPON TYNE HOSPITALS NHS FOUNDATION TRUST)</cp:lastModifiedBy>
  <cp:revision>2</cp:revision>
  <cp:lastPrinted>2024-12-02T11:56:00Z</cp:lastPrinted>
  <dcterms:created xsi:type="dcterms:W3CDTF">2024-12-04T11:09:00Z</dcterms:created>
  <dcterms:modified xsi:type="dcterms:W3CDTF">2024-12-04T11:09:00Z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0x0101002A383143EA933A44A195610E8464FC04</vt:lpwstr>
  </property>
</Properties>
</file>